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spacing w:before="360" w:after="240"/>
        <w:jc w:val="left"/>
      </w:pPr>
      <w:r>
        <w:rPr>
          <w:rFonts w:ascii="Aptos" w:hAnsi="Aptos" w:eastAsia="Aptos"/>
          <w:b/>
          <w:color w:val="1F4E79"/>
          <w:sz w:val="48"/>
        </w:rPr>
        <w:t>HR Joiner Mover Leaver Procedure</w:t>
      </w:r>
    </w:p>
    <w:p>
      <w:pPr>
        <w:pStyle w:val="Subtitle"/>
        <w:keepNext/>
        <w:spacing w:after="200" w:before="0"/>
        <w:jc w:val="left"/>
      </w:pPr>
      <w:r>
        <w:t>Procedure | SOC 2</w:t>
      </w:r>
    </w:p>
    <w:p>
      <w:pPr>
        <w:pStyle w:val="Heading1"/>
      </w:pPr>
      <w:r>
        <w:t>Sample Preview Notice</w:t>
      </w:r>
    </w:p>
    <w:p>
      <w:r>
        <w:t>This is a sample / preview version of the SOC 2 procedure 'HR Joiner Mover Leaver Procedure'. It may be abbreviated or partially redacted for evaluation purposes. The full purchased pack contains the complete editable set and the full implementation-ready content.</w:t>
      </w:r>
    </w:p>
    <w:p>
      <w:pPr>
        <w:spacing w:after="120" w:line="276" w:lineRule="auto" w:before="0"/>
      </w:pPr>
      <w:r>
        <w:rPr>
          <w:rFonts w:ascii="Aptos" w:hAnsi="Aptos" w:eastAsia="Aptos"/>
          <w:sz w:val="22"/>
        </w:rPr>
        <w:t>Customise this document to match your operating model, retain evidence of approval, and review it in line with your governance cycle.</w:t>
      </w:r>
    </w:p>
    <w:tbl>
      <w:tblPr>
        <w:tblStyle w:val="TableGrid"/>
        <w:tblW w:type="auto" w:w="0"/>
        <w:jc w:val="center"/>
        <w:tblLayout w:type="autofit"/>
        <w:tblLook w:firstColumn="1" w:firstRow="1" w:lastColumn="0" w:lastRow="0" w:noHBand="0" w:noVBand="1" w:val="04A0"/>
      </w:tblPr>
      <w:tblGrid>
        <w:gridCol w:w="9792"/>
      </w:tblGrid>
      <w:tr>
        <w:tc>
          <w:tcPr>
            <w:tcW w:type="dxa" w:w="9792"/>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How to use this document: tailor the placeholders to your operating model, keep ownership current, and align linked procedures, registers, and evidence records.</w:t>
            </w:r>
          </w:p>
        </w:tc>
      </w:tr>
    </w:tbl>
    <w:p>
      <w:pPr>
        <w:spacing w:before="0" w:after="120" w:line="276" w:lineRule="auto"/>
      </w:pPr>
    </w:p>
    <w:p>
      <w:pPr>
        <w:pStyle w:val="Heading1"/>
        <w:keepNext/>
        <w:spacing w:before="320" w:after="160"/>
      </w:pPr>
      <w:r>
        <w:rPr>
          <w:rFonts w:ascii="Aptos" w:hAnsi="Aptos" w:eastAsia="Aptos"/>
          <w:b/>
          <w:color w:val="1F4E79"/>
          <w:sz w:val="32"/>
        </w:rPr>
        <w:t>Document Control</w:t>
      </w:r>
    </w:p>
    <w:tbl>
      <w:tblPr>
        <w:tblStyle w:val="TableGrid"/>
        <w:tblW w:type="auto" w:w="0"/>
        <w:jc w:val="center"/>
        <w:tblLayout w:type="autofit"/>
        <w:tblLook w:firstColumn="1" w:firstRow="1" w:lastColumn="0" w:lastRow="0" w:noHBand="0" w:noVBand="1" w:val="04A0"/>
      </w:tblPr>
      <w:tblGrid>
        <w:gridCol w:w="4896"/>
        <w:gridCol w:w="4896"/>
      </w:tblGrid>
      <w:tr>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Document Title</w:t>
            </w:r>
          </w:p>
        </w:tc>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HR Joiner Mover Leaver Procedure</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Framework</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SOC 2</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Category</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Procedure</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Owner</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People Lead</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Classification</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Internal</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Version</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2.0</w:t>
            </w:r>
          </w:p>
        </w:tc>
      </w:tr>
    </w:tbl>
    <w:p>
      <w:pPr>
        <w:spacing w:before="0" w:after="120" w:line="276" w:lineRule="auto"/>
      </w:pPr>
    </w:p>
    <w:p>
      <w:pPr>
        <w:pStyle w:val="Heading2"/>
        <w:keepNext/>
        <w:spacing w:before="200" w:after="100"/>
      </w:pPr>
      <w:r>
        <w:rPr>
          <w:rFonts w:ascii="Aptos" w:hAnsi="Aptos" w:eastAsia="Aptos"/>
          <w:b/>
          <w:color w:val="1F4E79"/>
          <w:sz w:val="26"/>
        </w:rPr>
        <w:t>Approval and Review</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Approved By</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Effective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Review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Status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Managing Director</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Approved</w:t>
            </w:r>
          </w:p>
        </w:tc>
      </w:tr>
    </w:tbl>
    <w:p>
      <w:pPr>
        <w:spacing w:before="0" w:after="120" w:line="276" w:lineRule="auto"/>
      </w:pPr>
    </w:p>
    <w:p>
      <w:pPr>
        <w:pStyle w:val="Heading2"/>
        <w:keepNext/>
        <w:spacing w:before="200" w:after="100"/>
      </w:pPr>
      <w:r>
        <w:rPr>
          <w:rFonts w:ascii="Aptos" w:hAnsi="Aptos" w:eastAsia="Aptos"/>
          <w:b/>
          <w:color w:val="1F4E79"/>
          <w:sz w:val="26"/>
        </w:rPr>
        <w:t>Revision History</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Version</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Author</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Changes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2.0</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ISOReady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Initial release</w:t>
            </w:r>
          </w:p>
        </w:tc>
      </w:tr>
    </w:tbl>
    <w:p>
      <w:pPr>
        <w:spacing w:before="0" w:after="120" w:line="276" w:lineRule="auto"/>
      </w:pPr>
      <w:r>
        <w:rPr>
          <w:rFonts w:ascii="Aptos" w:hAnsi="Aptos" w:eastAsia="Aptos"/>
          <w:sz w:val="22"/>
        </w:rPr>
        <w:br w:type="page"/>
      </w:r>
    </w:p>
    <w:p>
      <w:pPr>
        <w:pStyle w:val="Heading1"/>
        <w:keepNext/>
        <w:pageBreakBefore/>
        <w:spacing w:before="320" w:after="160"/>
      </w:pPr>
      <w:r>
        <w:rPr>
          <w:rFonts w:ascii="Aptos" w:hAnsi="Aptos" w:eastAsia="Aptos"/>
          <w:b/>
          <w:color w:val="1F4E79"/>
          <w:sz w:val="32"/>
        </w:rPr>
        <w:t>1. Purpose</w:t>
      </w:r>
    </w:p>
    <w:p>
      <w:pPr>
        <w:spacing w:before="0" w:after="120" w:line="276" w:lineRule="auto"/>
      </w:pPr>
      <w:r>
        <w:rPr>
          <w:rFonts w:ascii="Aptos" w:hAnsi="Aptos" w:eastAsia="Aptos"/>
          <w:sz w:val="22"/>
        </w:rPr>
        <w:t>Executive Summary HR Joiner Mover Leaver Procedure gives staff a controlled, repeatable way to complete the activity and retain suitable evidence for review. Purpose This sets out the step-by-step operational process for onboarding (Joiner), transferring (Mover), and offboarding (Leaver) staff at the organisation. It establishes a clear, controlled workflow linking HR events to identity and system access changes, minimising the risk of orphaned accounts, excessive privileges, or unauthorised access. Implementation of this process supports SOC 2 Trust Services Criteria for security, confidentiality, processing integrity, and privacy, by maintaining comprehensive logs of provisioning and deprovisioning in all relevant systems. Why This Matters This procedure matters because it should support a credible control environment, customer assurance conversations, and sustained evidence of control operation over time. It is most useful when it gives teams a workable operating baseline, not just approved wording. It should align to the mapped control area 'CC6.2', 9 related evidence references, 8 related risk items. What Good Looks Like A credible implementation state is demonstrated by approved documentation, consistent operational use, and evidence records showing the control is functioning in practice.</w:t>
      </w:r>
    </w:p>
    <w:p>
      <w:pPr>
        <w:pStyle w:val="Heading1"/>
        <w:keepNext/>
        <w:spacing w:before="320" w:after="160"/>
      </w:pPr>
      <w:r>
        <w:rPr>
          <w:rFonts w:ascii="Aptos" w:hAnsi="Aptos" w:eastAsia="Aptos"/>
          <w:b/>
          <w:color w:val="1F4E79"/>
          <w:sz w:val="32"/>
        </w:rPr>
        <w:t>2. Scope</w:t>
      </w:r>
    </w:p>
    <w:p>
      <w:pPr>
        <w:spacing w:before="0" w:after="120" w:line="276" w:lineRule="auto"/>
      </w:pPr>
      <w:r>
        <w:rPr>
          <w:rFonts w:ascii="Aptos" w:hAnsi="Aptos" w:eastAsia="Aptos"/>
          <w:sz w:val="22"/>
        </w:rPr>
        <w:t>For most organisations, this applies to all permanent, temporary, and contractor staff at the organisation whose roles require access to company-managed information systems, including Microsoft 365, Google Workspace, AWS, Jira, GitHub, and all critical SaaS platforms used in operations. It covers all joiner, mover, and leaver events regardless of contract type or region, and applies to both IT-managed and delegated SaaS-administered access. Third-party suppliers are not in scope but are governed separately by the Vendor Management Policy. Control operation requirements A joiner event is triggered when an offer of employment or contractor engagement is accepted. A mover event is triggered upon promotion, horizontal transfer, or change in job description affecting system access. A leaver event is triggered by resignation, termination, or end of contract. All events must be initiated by the People Lead via the HRIS and confirmed with an email notification to it@yourcompany.co.uk (Joiners/Movers) or security@yourcompany.co.uk (Leavers). Each event requires an HRIS request raising a unique JML ticket including the name, role, start/end date, required system access, line manager, and justification. Movers must attach evidence of approval for the role change from both current and future line managers.</w:t>
      </w:r>
    </w:p>
    <w:p>
      <w:pPr>
        <w:pStyle w:val="Heading1"/>
        <w:keepNext/>
        <w:spacing w:before="320" w:after="160"/>
      </w:pPr>
      <w:r>
        <w:rPr>
          <w:rFonts w:ascii="Aptos" w:hAnsi="Aptos" w:eastAsia="Aptos"/>
          <w:b/>
          <w:color w:val="1F4E79"/>
          <w:sz w:val="32"/>
        </w:rPr>
        <w:t>3. Trigger / Inputs</w:t>
      </w:r>
    </w:p>
    <w:p>
      <w:pPr>
        <w:spacing w:before="0" w:after="120" w:line="276" w:lineRule="auto"/>
      </w:pPr>
      <w:r>
        <w:rPr>
          <w:rFonts w:ascii="Aptos" w:hAnsi="Aptos" w:eastAsia="Aptos"/>
          <w:sz w:val="22"/>
        </w:rPr>
        <w:t>Use this section to describe the event, request, or condition that starts the workflow. A joiner event is triggered when an offer of employment or contractor engagement is accepted.</w:t>
      </w:r>
    </w:p>
    <w:p>
      <w:pPr>
        <w:pStyle w:val="Heading1"/>
        <w:keepNext/>
        <w:spacing w:before="320" w:after="160"/>
      </w:pPr>
      <w:r>
        <w:rPr>
          <w:rFonts w:ascii="Aptos" w:hAnsi="Aptos" w:eastAsia="Aptos"/>
          <w:b/>
          <w:color w:val="1F4E79"/>
          <w:sz w:val="32"/>
        </w:rPr>
        <w:t>4. Procedure Steps</w:t>
      </w:r>
    </w:p>
    <w:p>
      <w:pPr>
        <w:spacing w:before="0" w:after="120" w:line="276" w:lineRule="auto"/>
      </w:pPr>
      <w:r>
        <w:rPr>
          <w:rFonts w:ascii="Aptos" w:hAnsi="Aptos" w:eastAsia="Aptos"/>
          <w:sz w:val="22"/>
        </w:rPr>
        <w:t>1. Initiation and Logging: - HR/People Lead raises a JML request in the HRIS, providing all required details including start/end date, systems required/removed, and role. - For leavers, the intended last working day and any handover requirements are specified. Notification is simultaneously emailed to security@yourcompany.co.uk. - Each JML request generates a unique ticket ID for audit tracking; the HRIS workflow is configured so no ticket can close without evidence. 2. Review and Access Mapping: - The Information Security Officer (ISO) reviews access requested for joiners and movers against the documented Access Control Matrix in the Internal Policy Portal. For leaver tickets, ISO verifies a comprehensive access list by querying AWS, Google Workspace, Microsoft 365, Jira, and GitHub access registers. 3. Approval: - Joiner and mover tickets require written approval from both the relevant Line Manager and the ISO, confirmed within HRIS or via digital signature. Leaver tickets require the Line Manager's countersignature and ISO approval, who verify handover and access removal plans. - Approvals are time-bound and must be executed within an organisation-defined timeframe (example default: two working days, adjust as required) of ticket creation for joiners/movers, and one working day prior to the leaving date for leavers. 4. Provisioning/Deprovisioning: - IT/Engineering carries out all access changes in scope within the approved timeframes, using audit logs for each system. All privileged or admin access changes are peer-reviewed and logged in the ticket, with screenshots or exportable logs attached as evidence. - For leavers, all access is disabled no later than COB UK time on the last day of employment; privileged accounts (AWS, admin, GitHub owner) must be suspended immediately after work cessation and prior to device collection. 5. Device &amp; Asset Coordination: - For joiners, assigned assets are recorded against the company Asset Register and linked to the JML ticket. Movers submit an asset status update for sign-off. Leavers return all company equipment, verified physically or via courier tracking, with asset status recertified in the register. 6. Ticket Closure and Evidence Collection: - The ISO closes the JML ticket only when: all approvals and peer reviews are recorded, access logs/screenshots are attached, the asset register is reconciled, and (for leavers) a confirmation of account disablement across all platforms is attached. - The completed JML ticket along with all artefacts is uploaded to the Internal Policy Portal as evidential record, retained for an organisation-defined period (example default: two years, adjust as required) in accordance with SOC 2 evidence obligations. 7. Exception Escalation: - Any instance requiring deviation from the standard timelines or process (e.g., urgent leaver, approval delays, inoperative accounts) is escalated within an organisation-defined timeframe (example default: one business day, adjust as required) to security@yourcompany.co.uk and logged as an exception, with Managing Director notification for critical cases.</w:t>
      </w:r>
    </w:p>
    <w:p>
      <w:pPr>
        <w:pStyle w:val="Heading1"/>
        <w:keepNext/>
        <w:spacing w:before="320" w:after="160"/>
      </w:pPr>
      <w:r>
        <w:rPr>
          <w:rFonts w:ascii="Aptos" w:hAnsi="Aptos" w:eastAsia="Aptos"/>
          <w:b/>
          <w:color w:val="1F4E79"/>
          <w:sz w:val="32"/>
        </w:rPr>
        <w:t>5. Roles and Responsibilities</w:t>
      </w:r>
    </w:p>
    <w:p>
      <w:pPr>
        <w:spacing w:before="0" w:after="120" w:line="276" w:lineRule="auto"/>
      </w:pPr>
      <w:r>
        <w:rPr>
          <w:rFonts w:ascii="Aptos" w:hAnsi="Aptos" w:eastAsia="Aptos"/>
          <w:sz w:val="22"/>
        </w:rPr>
        <w:t>The purchased version provides the complete workflow, roles, decision points, and supporting operational detail for this process. The full HR Joiner Mover Leaver Procedure document expands this area with customer-ready detail.</w:t>
      </w:r>
    </w:p>
    <w:p>
      <w:pPr>
        <w:pStyle w:val="Heading1"/>
        <w:keepNext/>
        <w:spacing w:before="320" w:after="160"/>
      </w:pPr>
      <w:r>
        <w:rPr>
          <w:rFonts w:ascii="Aptos" w:hAnsi="Aptos" w:eastAsia="Aptos"/>
          <w:b/>
          <w:color w:val="1F4E79"/>
          <w:sz w:val="32"/>
        </w:rPr>
        <w:t>6. Records / Outputs</w:t>
      </w:r>
    </w:p>
    <w:p>
      <w:pPr>
        <w:spacing w:before="0" w:after="120" w:line="276" w:lineRule="auto"/>
      </w:pPr>
      <w:r>
        <w:rPr>
          <w:rFonts w:ascii="Aptos" w:hAnsi="Aptos" w:eastAsia="Aptos"/>
          <w:sz w:val="22"/>
        </w:rPr>
        <w:t>Use this section to describe retained evidence, outputs, and traceability expectations. The purchased version provides the complete workflow, roles, decision points, and supporting operational detail for this process.</w:t>
      </w:r>
    </w:p>
    <w:p>
      <w:pPr>
        <w:pStyle w:val="Heading1"/>
        <w:keepNext/>
        <w:spacing w:before="320" w:after="160"/>
      </w:pPr>
      <w:r>
        <w:rPr>
          <w:rFonts w:ascii="Aptos" w:hAnsi="Aptos" w:eastAsia="Aptos"/>
          <w:b/>
          <w:color w:val="1F4E79"/>
          <w:sz w:val="32"/>
        </w:rPr>
        <w:t>7. Exceptions</w:t>
      </w:r>
    </w:p>
    <w:p>
      <w:pPr>
        <w:spacing w:before="0" w:after="120" w:line="276" w:lineRule="auto"/>
      </w:pPr>
      <w:r>
        <w:rPr>
          <w:rFonts w:ascii="Aptos" w:hAnsi="Aptos" w:eastAsia="Aptos"/>
          <w:sz w:val="22"/>
        </w:rPr>
        <w:t>The purchased version provides the complete workflow, roles, decision points, and supporting operational detail for this process. The full HR Joiner Mover Leaver Procedure document expands this area with customer-ready detail.</w:t>
      </w:r>
    </w:p>
    <w:p>
      <w:pPr>
        <w:pStyle w:val="Heading1"/>
        <w:keepNext/>
        <w:spacing w:before="320" w:after="160"/>
      </w:pPr>
      <w:r>
        <w:rPr>
          <w:rFonts w:ascii="Aptos" w:hAnsi="Aptos" w:eastAsia="Aptos"/>
          <w:b/>
          <w:color w:val="1F4E79"/>
          <w:sz w:val="32"/>
        </w:rPr>
        <w:t>8. Supporting Documents</w:t>
      </w:r>
    </w:p>
    <w:p>
      <w:pPr>
        <w:spacing w:before="0" w:after="120" w:line="276" w:lineRule="auto"/>
      </w:pPr>
      <w:r>
        <w:rPr>
          <w:rFonts w:ascii="Aptos" w:hAnsi="Aptos" w:eastAsia="Aptos"/>
          <w:sz w:val="22"/>
        </w:rPr>
        <w:t>The purchased version provides the complete workflow, roles, decision points, and supporting operational detail for this process. The full HR Joiner Mover Leaver Procedure document expands this area with customer-ready detail.</w:t>
      </w:r>
    </w:p>
    <w:p>
      <w:pPr>
        <w:pStyle w:val="Heading1"/>
        <w:keepNext/>
        <w:spacing w:before="320" w:after="160"/>
      </w:pPr>
      <w:r>
        <w:rPr>
          <w:rFonts w:ascii="Aptos" w:hAnsi="Aptos" w:eastAsia="Aptos"/>
          <w:b/>
          <w:color w:val="1F4E79"/>
          <w:sz w:val="32"/>
        </w:rPr>
        <w:t>9. Control Mapping</w:t>
      </w:r>
    </w:p>
    <w:p>
      <w:pPr>
        <w:spacing w:before="0" w:after="120" w:line="276" w:lineRule="auto"/>
      </w:pPr>
      <w:r>
        <w:rPr>
          <w:rFonts w:ascii="Aptos" w:hAnsi="Aptos" w:eastAsia="Aptos"/>
          <w:sz w:val="22"/>
        </w:rPr>
        <w:t>Use this section to show how the workflow supports controls and how that support is evidenced. The purchased version provides the complete workflow, roles, decision points, and supporting operational detail for this process.</w:t>
      </w:r>
    </w:p>
    <w:sectPr w:rsidR="00FC693F" w:rsidRPr="0006063C" w:rsidSect="00034616">
      <w:headerReference w:type="default" r:id="rId9"/>
      <w:footerReference w:type="default" r:id="rId10"/>
      <w:pgSz w:w="12240" w:h="15840"/>
      <w:pgMar w:top="1080" w:right="1224" w:bottom="1008" w:left="1224" w:header="504"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eastAsia="Aptos"/>
        <w:sz w:val="18"/>
      </w:rPr>
      <w:t xml:space="preserve">HR Joiner Mover Leaver Procedure | Version 2.0 | Internal | Page </w:t>
    </w:r>
    <w:r>
      <w:fldChar w:fldCharType="begin"/>
    </w:r>
    <w:r>
      <w:instrText xml:space="preserve"> PAGE </w:instrText>
    </w:r>
    <w:r>
      <w:fldChar w:fldCharType="separate"/>
    </w:r>
    <w:r>
      <w:t>1</w:t>
    </w:r>
    <w:r>
      <w:fldChar w:fldCharType="end"/>
    </w:r>
    <w:r>
      <w:rPr>
        <w:rFonts w:ascii="Aptos" w:hAnsi="Aptos" w:eastAsia="Aptos"/>
        <w:sz w:val="18"/>
      </w:rPr>
      <w:t xml:space="preserve"> of </w:t>
    </w:r>
    <w:r>
      <w:fldChar w:fldCharType="begin"/>
    </w:r>
    <w:r>
      <w:instrText xml:space="preserve"> NUMPAGES </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8"/>
      </w:rPr>
      <w:t>SAMPLE / PREVIEW / NOT FOR OPERATIONAL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b w:val="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eastAsia="Aptos"/>
      <w:sz w:val="20"/>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eastAsia="Aptos"/>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eastAsia="Aptos"/>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4546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eastAsia="Aptos"/>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eastAsia="Aptos"/>
      <w:b w:val="0"/>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HR Joiner Mover Leaver Procedure</dc:title>
  <dc:subject>SOC 2</dc:subject>
  <dc:creator>ISOReady</dc:creator>
  <cp:keywords/>
  <dc:description>SOC 2 generated by ISOReady integrated builder</dc:description>
  <cp:lastModifiedBy/>
  <cp:revision>1</cp:revision>
  <dcterms:created xsi:type="dcterms:W3CDTF">2013-12-23T23:15:00Z</dcterms:created>
  <dcterms:modified xsi:type="dcterms:W3CDTF">2013-12-23T23:15:00Z</dcterms:modified>
  <cp:category>Procedure</cp:category>
</cp:coreProperties>
</file>