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Access Control Policy</w:t>
      </w:r>
    </w:p>
    <w:p>
      <w:pPr>
        <w:pStyle w:val="Subtitle"/>
        <w:keepNext/>
        <w:spacing w:after="200" w:before="0"/>
        <w:jc w:val="left"/>
      </w:pPr>
      <w:r>
        <w:t>Policy | SOC 2</w:t>
      </w:r>
    </w:p>
    <w:p>
      <w:pPr>
        <w:pStyle w:val="Heading1"/>
      </w:pPr>
      <w:r>
        <w:t>Sample Preview Notice</w:t>
      </w:r>
    </w:p>
    <w:p>
      <w:r>
        <w:t>This is a sample / preview version of the SOC 2 policy 'Access Control Policy'.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Access Control 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SOC 2</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Policy</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IT Manager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Confidential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2.0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2.0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Access Control Policy provides a management-level baseline for SOC 2 and explains why consistent control adoption, ownership, and evidence matter. Purpose This Access Control Policy establishes firm requirements for restricting access to systems, applications, and data at the organisation, in line with SOC 2. This document sets enforceable controls to manage and monitor access throughout the organisation and ensures only authorised users can access information based on legitimate business need. Why This Matters This policy matters because it should support a credible control environment, customer assurance conversations, and sustained evidence of control operation over time. It is most useful when it gives teams a workable operating baseline, not just approved wording. It should align to the mapped control area 'CC6.1', 9 related evidence references, 8 related risk items. It supports the Trust Services Criteria, particularly security, availability, and confidentiality.</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policy covers all information systems, SaaS platforms, databases, internal applications, collaboration tools, and any medium containing or processing client or corporate data managed by the organisation. It applies to all permanent employees, contractors, temporary staff, and third-party service providers granted access to the organisation systems within the UK jurisdiction. Keep the wording focused on control operation, evidence over time, monitoring, review cadence, and buyer-facing assurance credibility.</w:t>
      </w:r>
    </w:p>
    <w:p>
      <w:pPr>
        <w:pStyle w:val="Heading1"/>
        <w:keepNext/>
        <w:spacing w:before="320" w:after="160"/>
      </w:pPr>
      <w:r>
        <w:rPr>
          <w:rFonts w:ascii="Aptos" w:hAnsi="Aptos" w:eastAsia="Aptos"/>
          <w:b/>
          <w:color w:val="1F4E79"/>
          <w:sz w:val="32"/>
        </w:rPr>
        <w:t>3. Objectives</w:t>
      </w:r>
    </w:p>
    <w:p>
      <w:pPr>
        <w:spacing w:before="0" w:after="120" w:line="276" w:lineRule="auto"/>
      </w:pPr>
      <w:r>
        <w:rPr>
          <w:rFonts w:ascii="Aptos" w:hAnsi="Aptos" w:eastAsia="Aptos"/>
          <w:sz w:val="22"/>
        </w:rPr>
        <w:t>1. Restrict system and data access strictly to authorised personnel with established need. 2. Define roles and processes for managing user access lifecycle events (provisioning, modification, termination). 3. Implement enforceable logging, evidence collection, and regular access reviews. 4. Provide clear operational procedures for timely detection and response to unauthorised access or policy breaches. What Good Looks Like A credible implementation state is demonstrated by approved documentation, consistent operational use, and evidence records showing the control is functioning in practice. It applies to all permanent employees, contractors, temporary staff, and third-party service providers granted access to the organisation systems within the UK jurisdiction.</w:t>
      </w:r>
    </w:p>
    <w:p>
      <w:pPr>
        <w:pStyle w:val="Heading1"/>
        <w:keepNext/>
        <w:spacing w:before="320" w:after="160"/>
      </w:pPr>
      <w:r>
        <w:rPr>
          <w:rFonts w:ascii="Aptos" w:hAnsi="Aptos" w:eastAsia="Aptos"/>
          <w:b/>
          <w:color w:val="1F4E79"/>
          <w:sz w:val="32"/>
        </w:rPr>
        <w:t>4. Policy Statements</w:t>
      </w:r>
    </w:p>
    <w:p>
      <w:pPr>
        <w:spacing w:before="0" w:after="120" w:line="276" w:lineRule="auto"/>
      </w:pPr>
      <w:r>
        <w:rPr>
          <w:rFonts w:ascii="Aptos" w:hAnsi="Aptos" w:eastAsia="Aptos"/>
          <w:sz w:val="22"/>
        </w:rPr>
        <w:t>1. All access to production systems, SaaS management consoles, internal business applications, and client data must be granted strictly based on documented, role-linked, auditable business justification approved through the Internal Policy Portal. 2. User accounts (including administrator, developer, and service accounts) must be created, modified, and revoked only via documented Service Request Register transactions, with the Information Security Officer authorising all requests within an organisation-defined timeframe. 3. User access rights must be assigned in alignment with the principle of least privilege, mapped to standard access role profiles reviewed and updated by the designated security lead during annual access reviews. 4. Access Reviews: The security owner will perform and log quarterly access rights verification against all SaaS, internal, and cloud systems; outcomes, changes, and exceptions must be recorded in the central Access Review Register within an organisation-defined timeframe of review completion. 5. All privileged account activities and authentication events must be logged, monitored, and retained for an organisation-defined period; access logs must be made available within an organisation-defined timeframe to the security owner or upon request for audit or incident investigation. 6. All access termination requests (e.g., for leavers, role changes) must be actioned within an organisation-defined timeframe of notification; records of revocations must be documented in the Access Termination Log and subject to monthly spot checks by the designated security lead. 7. Shared accounts are prohibited except for managed, documented exceptions, which require formal risk acceptance documented by the Managing Director and review at the defined review period. 8. All employees must report suspected unauthorised access, anomalies, or potential breaches immediately to security@yourcompany.co.uk. Incident logs must be retained, and escalation handled as per the Incident Management Procedure. 9. Any client or third-party integrations involving API keys, tokens, or service accounts require explicit review and approval by the responsible security lead before deployment; all integrations must be registered in the API Access Register. 10. Inactive user accounts not accessed for 45 consecutive days will be automatically disabled and flagged for review by the designated security lead, with actions tracked in the Dormant Account Log.</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Access Control Policy document expands this area with customer-ready detail.</w:t>
      </w:r>
    </w:p>
    <w:p>
      <w:pPr>
        <w:pStyle w:val="Heading1"/>
        <w:keepNext/>
        <w:spacing w:before="320" w:after="160"/>
      </w:pPr>
      <w:r>
        <w:rPr>
          <w:rFonts w:ascii="Aptos" w:hAnsi="Aptos" w:eastAsia="Aptos"/>
          <w:b/>
          <w:color w:val="1F4E79"/>
          <w:sz w:val="32"/>
        </w:rPr>
        <w:t>6. Implementation Guidance</w:t>
      </w:r>
    </w:p>
    <w:p>
      <w:pPr>
        <w:spacing w:before="0" w:after="120" w:line="276" w:lineRule="auto"/>
      </w:pPr>
      <w:r>
        <w:rPr>
          <w:rFonts w:ascii="Aptos" w:hAnsi="Aptos" w:eastAsia="Aptos"/>
          <w:sz w:val="22"/>
        </w:rPr>
        <w:t>Use this section to explain how teams should apply the document in practice.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7. How to Use This Document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Access Control Policy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Access Control Policy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link the document to controls, evidence, and traceability expectations. The full pack version of this section includes detailed control expectations, ownership guidance, review requirements, and implementation notes.</w:t>
      </w:r>
    </w:p>
    <w:p>
      <w:pPr>
        <w:pStyle w:val="Heading1"/>
        <w:keepNext/>
        <w:spacing w:before="320" w:after="160"/>
      </w:pPr>
      <w:r>
        <w:rPr>
          <w:rFonts w:ascii="Aptos" w:hAnsi="Aptos" w:eastAsia="Aptos"/>
          <w:b/>
          <w:color w:val="1F4E79"/>
          <w:sz w:val="32"/>
        </w:rPr>
        <w:t>10. Review and Maintenance</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Access Control Policy document expands this area with customer-ready detail.</w:t>
      </w:r>
    </w:p>
    <w:p>
      <w:pPr>
        <w:pStyle w:val="Heading1"/>
        <w:keepNext/>
        <w:spacing w:before="320" w:after="160"/>
      </w:pPr>
      <w:r>
        <w:rPr>
          <w:rFonts w:ascii="Aptos" w:hAnsi="Aptos" w:eastAsia="Aptos"/>
          <w:b/>
          <w:color w:val="1F4E79"/>
          <w:sz w:val="32"/>
        </w:rPr>
        <w:t>11. Enforcement</w:t>
      </w:r>
    </w:p>
    <w:p>
      <w:pPr>
        <w:spacing w:before="0" w:after="120" w:line="276" w:lineRule="auto"/>
      </w:pPr>
      <w:r>
        <w:rPr>
          <w:rFonts w:ascii="Aptos" w:hAnsi="Aptos" w:eastAsia="Aptos"/>
          <w:sz w:val="22"/>
        </w:rPr>
        <w:t>The full pack version of this section includes detailed control expectations, ownership guidance, review requirements, and implementation notes. The full Access Control Policy document expands this area with customer-ready detail.</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Access Control Policy | Version 2.0 | Confidential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Control Policy</dc:title>
  <dc:subject>SOC 2</dc:subject>
  <dc:creator>ISOReady</dc:creator>
  <cp:keywords/>
  <dc:description>SOC 2 generated by ISOReady integrated builder</dc:description>
  <cp:lastModifiedBy/>
  <cp:revision>1</cp:revision>
  <dcterms:created xsi:type="dcterms:W3CDTF">2013-12-23T23:15:00Z</dcterms:created>
  <dcterms:modified xsi:type="dcterms:W3CDTF">2013-12-23T23:15:00Z</dcterms:modified>
  <cp:category>Policy</cp:category>
</cp:coreProperties>
</file>