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keepNext/>
        <w:spacing w:before="360" w:after="240"/>
        <w:jc w:val="left"/>
      </w:pPr>
      <w:r>
        <w:rPr>
          <w:rFonts w:ascii="Aptos" w:hAnsi="Aptos" w:eastAsia="Aptos"/>
          <w:b/>
          <w:color w:val="1F4E79"/>
          <w:sz w:val="48"/>
        </w:rPr>
        <w:t>Vulnerability Scanning Procedure</w:t>
      </w:r>
    </w:p>
    <w:p>
      <w:pPr>
        <w:pStyle w:val="Subtitle"/>
        <w:keepNext/>
        <w:spacing w:after="200" w:before="0"/>
        <w:jc w:val="left"/>
      </w:pPr>
      <w:r>
        <w:t>Procedure | PCI-DSS</w:t>
      </w:r>
    </w:p>
    <w:p>
      <w:pPr>
        <w:pStyle w:val="Heading1"/>
      </w:pPr>
      <w:r>
        <w:t>Sample Preview Notice</w:t>
      </w:r>
    </w:p>
    <w:p>
      <w:r>
        <w:t>This is a sample / preview version of the PCI-DSS procedure 'Vulnerability Scanning Procedure'. It may be abbreviated or partially redacted for evaluation purposes. The full purchased pack contains the complete editable set and the full implementation-ready content.</w:t>
      </w:r>
    </w:p>
    <w:p>
      <w:pPr>
        <w:spacing w:after="120" w:line="276" w:lineRule="auto" w:before="0"/>
      </w:pPr>
      <w:r>
        <w:rPr>
          <w:rFonts w:ascii="Aptos" w:hAnsi="Aptos" w:eastAsia="Aptos"/>
          <w:sz w:val="22"/>
        </w:rPr>
        <w:t>Customise this document to match your operating model, retain evidence of approval, and review it in line with your governance cycle.</w:t>
      </w:r>
    </w:p>
    <w:tbl>
      <w:tblPr>
        <w:tblStyle w:val="TableGrid"/>
        <w:tblW w:type="auto" w:w="0"/>
        <w:jc w:val="center"/>
        <w:tblLayout w:type="autofit"/>
        <w:tblLook w:firstColumn="1" w:firstRow="1" w:lastColumn="0" w:lastRow="0" w:noHBand="0" w:noVBand="1" w:val="04A0"/>
      </w:tblPr>
      <w:tblGrid>
        <w:gridCol w:w="9792"/>
      </w:tblGrid>
      <w:tr>
        <w:tc>
          <w:tcPr>
            <w:tcW w:type="dxa" w:w="9792"/>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How to use this document: tailor the placeholders to your operating model, keep ownership current, and align linked procedures, registers, and evidence records.</w:t>
            </w:r>
          </w:p>
        </w:tc>
      </w:tr>
    </w:tbl>
    <w:p>
      <w:pPr>
        <w:spacing w:before="0" w:after="120" w:line="276" w:lineRule="auto"/>
      </w:pPr>
    </w:p>
    <w:p>
      <w:pPr>
        <w:pStyle w:val="Heading1"/>
        <w:keepNext/>
        <w:spacing w:before="320" w:after="160"/>
      </w:pPr>
      <w:r>
        <w:rPr>
          <w:rFonts w:ascii="Aptos" w:hAnsi="Aptos" w:eastAsia="Aptos"/>
          <w:b/>
          <w:color w:val="1F4E79"/>
          <w:sz w:val="32"/>
        </w:rPr>
        <w:t>Document Control</w:t>
      </w:r>
    </w:p>
    <w:tbl>
      <w:tblPr>
        <w:tblStyle w:val="TableGrid"/>
        <w:tblW w:type="auto" w:w="0"/>
        <w:jc w:val="center"/>
        <w:tblLayout w:type="autofit"/>
        <w:tblLook w:firstColumn="1" w:firstRow="1" w:lastColumn="0" w:lastRow="0" w:noHBand="0" w:noVBand="1" w:val="04A0"/>
      </w:tblPr>
      <w:tblGrid>
        <w:gridCol w:w="4896"/>
        <w:gridCol w:w="4896"/>
      </w:tblGrid>
      <w:tr>
        <w:tc>
          <w:tcPr>
            <w:tcW w:type="dxa" w:w="4896"/>
            <w:tcMar>
              <w:top w:w="110" w:type="dxa"/>
              <w:start w:w="140" w:type="dxa"/>
              <w:bottom w:w="110" w:type="dxa"/>
              <w:end w:w="120" w:type="dxa"/>
            </w:tcMar>
            <w:shd w:fill="1F4E79"/>
          </w:tcPr>
          <w:p>
            <w:pPr>
              <w:spacing w:before="0" w:after="60" w:line="259" w:lineRule="auto"/>
              <w:jc w:val="center"/>
            </w:pPr>
            <w:r>
              <w:rPr>
                <w:rFonts w:ascii="Aptos" w:hAnsi="Aptos" w:eastAsia="Aptos"/>
                <w:b/>
                <w:color w:val="FFFFFF"/>
                <w:sz w:val="22"/>
              </w:rPr>
              <w:t>Document Title</w:t>
            </w:r>
          </w:p>
        </w:tc>
        <w:tc>
          <w:tcPr>
            <w:tcW w:type="dxa" w:w="4896"/>
            <w:tcMar>
              <w:top w:w="110" w:type="dxa"/>
              <w:start w:w="140" w:type="dxa"/>
              <w:bottom w:w="110" w:type="dxa"/>
              <w:end w:w="120" w:type="dxa"/>
            </w:tcMar>
            <w:shd w:fill="1F4E79"/>
          </w:tcPr>
          <w:p>
            <w:pPr>
              <w:spacing w:before="0" w:after="60" w:line="259" w:lineRule="auto"/>
              <w:jc w:val="center"/>
            </w:pPr>
            <w:r>
              <w:rPr>
                <w:rFonts w:ascii="Aptos" w:hAnsi="Aptos" w:eastAsia="Aptos"/>
                <w:b/>
                <w:color w:val="FFFFFF"/>
                <w:sz w:val="22"/>
              </w:rPr>
              <w:t>Vulnerability Scanning Procedure</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Framework</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PCI-DSS</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Category</w:t>
            </w:r>
          </w:p>
        </w:tc>
        <w:tc>
          <w:tcPr>
            <w:tcW w:type="dxa" w:w="4896"/>
            <w:tcMar>
              <w:top w:w="110" w:type="dxa"/>
              <w:start w:w="140" w:type="dxa"/>
              <w:bottom w:w="110" w:type="dxa"/>
              <w:end w:w="120" w:type="dxa"/>
            </w:tcMar>
          </w:tcPr>
          <w:p>
            <w:pPr>
              <w:spacing w:before="0" w:after="40" w:line="259" w:lineRule="auto"/>
              <w:jc w:val="left"/>
            </w:pPr>
            <w:r>
              <w:rPr>
                <w:rFonts w:ascii="Aptos" w:hAnsi="Aptos" w:eastAsia="Aptos"/>
                <w:sz w:val="22"/>
              </w:rPr>
              <w:t>Procedure</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Owner</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Security Manager</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Classification</w:t>
            </w:r>
          </w:p>
        </w:tc>
        <w:tc>
          <w:tcPr>
            <w:tcW w:type="dxa" w:w="4896"/>
            <w:tcMar>
              <w:top w:w="110" w:type="dxa"/>
              <w:start w:w="140" w:type="dxa"/>
              <w:bottom w:w="110" w:type="dxa"/>
              <w:end w:w="120" w:type="dxa"/>
            </w:tcMar>
          </w:tcPr>
          <w:p>
            <w:pPr>
              <w:spacing w:before="0" w:after="40" w:line="259" w:lineRule="auto"/>
              <w:jc w:val="left"/>
            </w:pPr>
            <w:r>
              <w:rPr>
                <w:rFonts w:ascii="Aptos" w:hAnsi="Aptos" w:eastAsia="Aptos"/>
                <w:sz w:val="22"/>
              </w:rPr>
              <w:t>Internal</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Version</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1.0</w:t>
            </w:r>
          </w:p>
        </w:tc>
      </w:tr>
    </w:tbl>
    <w:p>
      <w:pPr>
        <w:spacing w:before="0" w:after="120" w:line="276" w:lineRule="auto"/>
      </w:pPr>
    </w:p>
    <w:p>
      <w:pPr>
        <w:pStyle w:val="Heading2"/>
        <w:keepNext/>
        <w:spacing w:before="200" w:after="100"/>
      </w:pPr>
      <w:r>
        <w:rPr>
          <w:rFonts w:ascii="Aptos" w:hAnsi="Aptos" w:eastAsia="Aptos"/>
          <w:b/>
          <w:color w:val="1F4E79"/>
          <w:sz w:val="26"/>
        </w:rPr>
        <w:t>Approval and Review</w:t>
      </w:r>
    </w:p>
    <w:tbl>
      <w:tblPr>
        <w:tblStyle w:val="TableGrid"/>
        <w:tblW w:type="auto" w:w="0"/>
        <w:jc w:val="center"/>
        <w:tblLayout w:type="autofit"/>
        <w:tblLook w:firstColumn="1" w:firstRow="1" w:lastColumn="0" w:lastRow="0" w:noHBand="0" w:noVBand="1" w:val="04A0"/>
      </w:tblPr>
      <w:tblGrid>
        <w:gridCol w:w="2448"/>
        <w:gridCol w:w="2448"/>
        <w:gridCol w:w="2448"/>
        <w:gridCol w:w="2448"/>
      </w:tblGrid>
      <w:tr>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Approved By</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Effective 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Review 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Status</w:t>
            </w:r>
          </w:p>
        </w:tc>
      </w:tr>
      <w:tr>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Managing Director</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Approved</w:t>
            </w:r>
          </w:p>
        </w:tc>
      </w:tr>
    </w:tbl>
    <w:p>
      <w:pPr>
        <w:spacing w:before="0" w:after="120" w:line="276" w:lineRule="auto"/>
      </w:pPr>
    </w:p>
    <w:p>
      <w:pPr>
        <w:pStyle w:val="Heading2"/>
        <w:keepNext/>
        <w:spacing w:before="200" w:after="100"/>
      </w:pPr>
      <w:r>
        <w:rPr>
          <w:rFonts w:ascii="Aptos" w:hAnsi="Aptos" w:eastAsia="Aptos"/>
          <w:b/>
          <w:color w:val="1F4E79"/>
          <w:sz w:val="26"/>
        </w:rPr>
        <w:t>Revision History</w:t>
      </w:r>
    </w:p>
    <w:tbl>
      <w:tblPr>
        <w:tblStyle w:val="TableGrid"/>
        <w:tblW w:type="auto" w:w="0"/>
        <w:jc w:val="center"/>
        <w:tblLayout w:type="autofit"/>
        <w:tblLook w:firstColumn="1" w:firstRow="1" w:lastColumn="0" w:lastRow="0" w:noHBand="0" w:noVBand="1" w:val="04A0"/>
      </w:tblPr>
      <w:tblGrid>
        <w:gridCol w:w="2448"/>
        <w:gridCol w:w="2448"/>
        <w:gridCol w:w="2448"/>
        <w:gridCol w:w="2448"/>
      </w:tblGrid>
      <w:tr>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Version</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Author</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Changes</w:t>
            </w:r>
          </w:p>
        </w:tc>
      </w:tr>
      <w:tr>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1.0</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ISOReady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Initial release</w:t>
            </w:r>
          </w:p>
        </w:tc>
      </w:tr>
    </w:tbl>
    <w:p>
      <w:pPr>
        <w:spacing w:before="0" w:after="120" w:line="276" w:lineRule="auto"/>
      </w:pPr>
      <w:r>
        <w:rPr>
          <w:rFonts w:ascii="Aptos" w:hAnsi="Aptos" w:eastAsia="Aptos"/>
          <w:sz w:val="22"/>
        </w:rPr>
        <w:br w:type="page"/>
      </w:r>
    </w:p>
    <w:p>
      <w:pPr>
        <w:pStyle w:val="Heading1"/>
        <w:keepNext/>
        <w:pageBreakBefore/>
        <w:spacing w:before="320" w:after="160"/>
      </w:pPr>
      <w:r>
        <w:rPr>
          <w:rFonts w:ascii="Aptos" w:hAnsi="Aptos" w:eastAsia="Aptos"/>
          <w:b/>
          <w:color w:val="1F4E79"/>
          <w:sz w:val="32"/>
        </w:rPr>
        <w:t>1. Purpose</w:t>
      </w:r>
    </w:p>
    <w:p>
      <w:pPr>
        <w:spacing w:before="0" w:after="120" w:line="276" w:lineRule="auto"/>
      </w:pPr>
      <w:r>
        <w:rPr>
          <w:rFonts w:ascii="Aptos" w:hAnsi="Aptos" w:eastAsia="Aptos"/>
          <w:sz w:val="22"/>
        </w:rPr>
        <w:t>Executive Summary Vulnerability Scanning Procedure gives staff a controlled, repeatable way to complete the activity and retain suitable evidence for review. Purpose Establish a detailed, auditable process for conducting, reviewing, and remediating internal and external vulnerability scans on all systems within the PCI DSS scope for the organisation. The goal is to ensure that vulnerabilities impacting cardholder data are identified, prioritised, and resolved in line with PCI DSS requirements and client contracts. Why this control matters in the in-scope environment This procedure matters because it should support disciplined operation of the cardholder data environment and credible evidence of control execution. It is most useful when it gives teams a workable operating baseline, not just approved wording. What Good Looks Like A usable implementation position is shown by approved content, repeatable operational behaviour, and records that confirm the requirement is being followed.</w:t>
      </w:r>
    </w:p>
    <w:p>
      <w:pPr>
        <w:pStyle w:val="Heading1"/>
        <w:keepNext/>
        <w:spacing w:before="320" w:after="160"/>
      </w:pPr>
      <w:r>
        <w:rPr>
          <w:rFonts w:ascii="Aptos" w:hAnsi="Aptos" w:eastAsia="Aptos"/>
          <w:b/>
          <w:color w:val="1F4E79"/>
          <w:sz w:val="32"/>
        </w:rPr>
        <w:t>2. Scope</w:t>
      </w:r>
    </w:p>
    <w:p>
      <w:pPr>
        <w:spacing w:before="0" w:after="120" w:line="276" w:lineRule="auto"/>
      </w:pPr>
      <w:r>
        <w:rPr>
          <w:rFonts w:ascii="Aptos" w:hAnsi="Aptos" w:eastAsia="Aptos"/>
          <w:sz w:val="22"/>
        </w:rPr>
        <w:t>Covers all production infrastructure, SaaS platforms, applications, and network components that store, process, or transmit cardholder data within the organisation’s UK operations. Applies to internal and external scanning activities, including third-party systems integrated within the PCI DSS scope. Operational requirements Vulnerability scanning is triggered by the following events: 1) Scheduled quarterly external and internal scans; 2) Significant changes to system components or network topology, e.g. launches, upgrades, or firewall configuration updates; 3) External requirements, such as new PCI DSS mandates or client-driven requests. Inputs required: latest asset register from the Information Security Officer, current scope definition in the Internal Policy Portal, up-to-date set of system credentials for authenticated scans, and confirmation of current third-party endpoints from system owners.</w:t>
      </w:r>
    </w:p>
    <w:p>
      <w:pPr>
        <w:pStyle w:val="Heading1"/>
        <w:keepNext/>
        <w:spacing w:before="320" w:after="160"/>
      </w:pPr>
      <w:r>
        <w:rPr>
          <w:rFonts w:ascii="Aptos" w:hAnsi="Aptos" w:eastAsia="Aptos"/>
          <w:b/>
          <w:color w:val="1F4E79"/>
          <w:sz w:val="32"/>
        </w:rPr>
        <w:t>3. Trigger / Inputs</w:t>
      </w:r>
    </w:p>
    <w:p>
      <w:pPr>
        <w:spacing w:before="0" w:after="120" w:line="276" w:lineRule="auto"/>
      </w:pPr>
      <w:r>
        <w:rPr>
          <w:rFonts w:ascii="Aptos" w:hAnsi="Aptos" w:eastAsia="Aptos"/>
          <w:sz w:val="22"/>
        </w:rPr>
        <w:t>Use this section to describe the event, request, or condition that starts the workflow. Vulnerability scanning is triggered by the following events: 1) Scheduled quarterly external and internal scans; 2) Significant changes to system components or network topology, e.g. launches, upgrades, or firewall configuration updates; 3) External requirements, such as new PCI DSS mandates or client-driven requests.</w:t>
      </w:r>
    </w:p>
    <w:p>
      <w:pPr>
        <w:pStyle w:val="Heading1"/>
        <w:keepNext/>
        <w:spacing w:before="320" w:after="160"/>
      </w:pPr>
      <w:r>
        <w:rPr>
          <w:rFonts w:ascii="Aptos" w:hAnsi="Aptos" w:eastAsia="Aptos"/>
          <w:b/>
          <w:color w:val="1F4E79"/>
          <w:sz w:val="32"/>
        </w:rPr>
        <w:t>4. Procedure Steps</w:t>
      </w:r>
    </w:p>
    <w:p>
      <w:pPr>
        <w:spacing w:before="0" w:after="120" w:line="276" w:lineRule="auto"/>
      </w:pPr>
      <w:r>
        <w:rPr>
          <w:rFonts w:ascii="Aptos" w:hAnsi="Aptos" w:eastAsia="Aptos"/>
          <w:sz w:val="22"/>
        </w:rPr>
        <w:t>1. The Information Security Officer obtains the validated asset register from the Internal Policy Portal by the 1st of each quarter. 2. System owners confirm the scope within an organisation-defined timeframe (example default: 24 hours, adjust as required) via email. 3. The responsible security lead logs into the approved vulnerability scanning platform maintained under PCI DSS requirements. External scans must target public cardholder data environments, while internal scans target segmented networks behind the firewall, using authenticated credentials. 4. The Officer schedules and initiates scans, ensuring all systems listed in the asset register are included. Progress and completion status must be logged in the Vulnerability Scan Register (controlled on the Internal Policy Portal). 5. Upon scan completion, results and reports are immediately downloaded, signed digitally, and submitted to security@yourcompany.co.uk within an organisation-defined timeframe (example default: four hours, adjust as required). 6. The designated security lead analyses results the same business day. Critical, high, and exploitable vulnerabilities are flagged and entered in the Security Remediation Tracker. 7. System owners are notified formally via email and assigned deadlines as per PCI DSS remediation timelines (critical/high: within an organisation-defined timeframe (example default: 7 calendar days, adjust as required), medium: within an organisation-defined timeframe (example default: 14 business days, adjust as required)). 8. Remediation evidence (e.g., patch logs, updated configuration screenshots) must be uploaded to the Policy Portal before marking findings as resolved. The designated security lead verifies completion and updates the Vulnerability Scan Register. 9. If scan results do not meet PCI DSS compliance, rescans are scheduled within an organisation-defined timeframe (example default: three business days, adjust as required) of remediation closure. 10. The full scan reports, remediation actions, and evidence logs are reviewed and approved by the Managing Director via the Internal Policy Portal. 11. All scan records, including evidence, approvals, and registers, are retained for an organisation-defined period (example default: 12 months, adjust as required) and are available for audit on request. 12. Any escalation, non-compliance, or overdue remediation is raised via security@yourcompany.co.uk and documented in the Incident Management Register for audit trail.</w:t>
      </w:r>
    </w:p>
    <w:p>
      <w:pPr>
        <w:pStyle w:val="Heading1"/>
        <w:keepNext/>
        <w:spacing w:before="320" w:after="160"/>
      </w:pPr>
      <w:r>
        <w:rPr>
          <w:rFonts w:ascii="Aptos" w:hAnsi="Aptos" w:eastAsia="Aptos"/>
          <w:b/>
          <w:color w:val="1F4E79"/>
          <w:sz w:val="32"/>
        </w:rPr>
        <w:t>5. Roles and Responsibilities</w:t>
      </w:r>
    </w:p>
    <w:p>
      <w:pPr>
        <w:spacing w:before="0" w:after="120" w:line="276" w:lineRule="auto"/>
      </w:pPr>
      <w:r>
        <w:rPr>
          <w:rFonts w:ascii="Aptos" w:hAnsi="Aptos" w:eastAsia="Aptos"/>
          <w:sz w:val="22"/>
        </w:rPr>
        <w:t>The purchased version provides the complete workflow, roles, decision points, and supporting operational detail for this process. The full Vulnerability Scanning Procedure document expands this area with customer-ready detail.</w:t>
      </w:r>
    </w:p>
    <w:p>
      <w:pPr>
        <w:pStyle w:val="Heading1"/>
        <w:keepNext/>
        <w:spacing w:before="320" w:after="160"/>
      </w:pPr>
      <w:r>
        <w:rPr>
          <w:rFonts w:ascii="Aptos" w:hAnsi="Aptos" w:eastAsia="Aptos"/>
          <w:b/>
          <w:color w:val="1F4E79"/>
          <w:sz w:val="32"/>
        </w:rPr>
        <w:t>6. Records / Outputs</w:t>
      </w:r>
    </w:p>
    <w:p>
      <w:pPr>
        <w:spacing w:before="0" w:after="120" w:line="276" w:lineRule="auto"/>
      </w:pPr>
      <w:r>
        <w:rPr>
          <w:rFonts w:ascii="Aptos" w:hAnsi="Aptos" w:eastAsia="Aptos"/>
          <w:sz w:val="22"/>
        </w:rPr>
        <w:t>Use this section to describe retained evidence, outputs, and traceability expectations. The purchased version provides the complete workflow, roles, decision points, and supporting operational detail for this process.</w:t>
      </w:r>
    </w:p>
    <w:p>
      <w:pPr>
        <w:pStyle w:val="Heading1"/>
        <w:keepNext/>
        <w:spacing w:before="320" w:after="160"/>
      </w:pPr>
      <w:r>
        <w:rPr>
          <w:rFonts w:ascii="Aptos" w:hAnsi="Aptos" w:eastAsia="Aptos"/>
          <w:b/>
          <w:color w:val="1F4E79"/>
          <w:sz w:val="32"/>
        </w:rPr>
        <w:t>7. Exceptions</w:t>
      </w:r>
    </w:p>
    <w:p>
      <w:pPr>
        <w:spacing w:before="0" w:after="120" w:line="276" w:lineRule="auto"/>
      </w:pPr>
      <w:r>
        <w:rPr>
          <w:rFonts w:ascii="Aptos" w:hAnsi="Aptos" w:eastAsia="Aptos"/>
          <w:sz w:val="22"/>
        </w:rPr>
        <w:t>The purchased version provides the complete workflow, roles, decision points, and supporting operational detail for this process. The full Vulnerability Scanning Procedure document expands this area with customer-ready detail.</w:t>
      </w:r>
    </w:p>
    <w:p>
      <w:pPr>
        <w:pStyle w:val="Heading1"/>
        <w:keepNext/>
        <w:spacing w:before="320" w:after="160"/>
      </w:pPr>
      <w:r>
        <w:rPr>
          <w:rFonts w:ascii="Aptos" w:hAnsi="Aptos" w:eastAsia="Aptos"/>
          <w:b/>
          <w:color w:val="1F4E79"/>
          <w:sz w:val="32"/>
        </w:rPr>
        <w:t>8. Supporting Documents</w:t>
      </w:r>
    </w:p>
    <w:p>
      <w:pPr>
        <w:spacing w:before="0" w:after="120" w:line="276" w:lineRule="auto"/>
      </w:pPr>
      <w:r>
        <w:rPr>
          <w:rFonts w:ascii="Aptos" w:hAnsi="Aptos" w:eastAsia="Aptos"/>
          <w:sz w:val="22"/>
        </w:rPr>
        <w:t>The purchased version provides the complete workflow, roles, decision points, and supporting operational detail for this process. The full Vulnerability Scanning Procedure document expands this area with customer-ready detail.</w:t>
      </w:r>
    </w:p>
    <w:p>
      <w:pPr>
        <w:pStyle w:val="Heading1"/>
        <w:keepNext/>
        <w:spacing w:before="320" w:after="160"/>
      </w:pPr>
      <w:r>
        <w:rPr>
          <w:rFonts w:ascii="Aptos" w:hAnsi="Aptos" w:eastAsia="Aptos"/>
          <w:b/>
          <w:color w:val="1F4E79"/>
          <w:sz w:val="32"/>
        </w:rPr>
        <w:t>9. Control Mapping</w:t>
      </w:r>
    </w:p>
    <w:p>
      <w:pPr>
        <w:spacing w:before="0" w:after="120" w:line="276" w:lineRule="auto"/>
      </w:pPr>
      <w:r>
        <w:rPr>
          <w:rFonts w:ascii="Aptos" w:hAnsi="Aptos" w:eastAsia="Aptos"/>
          <w:sz w:val="22"/>
        </w:rPr>
        <w:t>Use this section to show how the workflow supports controls and how that support is evidenced. The purchased version provides the complete workflow, roles, decision points, and supporting operational detail for this process.</w:t>
      </w:r>
    </w:p>
    <w:sectPr w:rsidR="00FC693F" w:rsidRPr="0006063C" w:rsidSect="00034616">
      <w:headerReference w:type="default" r:id="rId9"/>
      <w:footerReference w:type="default" r:id="rId10"/>
      <w:pgSz w:w="12240" w:h="15840"/>
      <w:pgMar w:top="1080" w:right="1224" w:bottom="1008" w:left="1224" w:header="504" w:footer="57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rPr>
        <w:rFonts w:ascii="Aptos" w:hAnsi="Aptos" w:eastAsia="Aptos"/>
        <w:sz w:val="18"/>
      </w:rPr>
      <w:t xml:space="preserve">Vulnerability Scanning Procedure | Version 1.0 | Internal | Page </w:t>
    </w:r>
    <w:r>
      <w:fldChar w:fldCharType="begin"/>
    </w:r>
    <w:r>
      <w:instrText xml:space="preserve"> PAGE </w:instrText>
    </w:r>
    <w:r>
      <w:fldChar w:fldCharType="separate"/>
    </w:r>
    <w:r>
      <w:t>1</w:t>
    </w:r>
    <w:r>
      <w:fldChar w:fldCharType="end"/>
    </w:r>
    <w:r>
      <w:rPr>
        <w:rFonts w:ascii="Aptos" w:hAnsi="Aptos" w:eastAsia="Aptos"/>
        <w:sz w:val="18"/>
      </w:rPr>
      <w:t xml:space="preserve"> of </w:t>
    </w:r>
    <w:r>
      <w:fldChar w:fldCharType="begin"/>
    </w:r>
    <w:r>
      <w:instrText xml:space="preserve"> NUMPAGES </w:instrText>
    </w:r>
    <w:r>
      <w:fldChar w:fldCharType="separate"/>
    </w:r>
    <w:r>
      <w:t>1</w: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sz w:val="18"/>
      </w:rPr>
      <w:t>SAMPLE / PREVIEW / NOT FOR OPERATIONAL USE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b w:val="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rPr>
      <w:rFonts w:ascii="Aptos" w:hAnsi="Aptos" w:eastAsia="Aptos"/>
      <w:sz w:val="20"/>
    </w:r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rPr>
      <w:rFonts w:ascii="Aptos" w:hAnsi="Aptos" w:eastAsia="Aptos"/>
      <w:sz w:val="18"/>
    </w:r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eastAsia="Aptos"/>
      <w:b/>
      <w:bCs/>
      <w:color w:val="1F4E79"/>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eastAsia="Aptos"/>
      <w:b/>
      <w:bCs/>
      <w:color w:val="1F4E7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eastAsia="Aptos"/>
      <w:b/>
      <w:bCs/>
      <w:color w:val="44546A"/>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w:hAnsi="Aptos" w:eastAsia="Aptos"/>
      <w:b/>
      <w:color w:val="17365D" w:themeColor="text2" w:themeShade="BF"/>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eastAsia="Aptos"/>
      <w:b w:val="0"/>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Vulnerability Scanning Procedure</dc:title>
  <dc:subject>PCI-DSS</dc:subject>
  <dc:creator>ISOReady</dc:creator>
  <cp:keywords/>
  <dc:description>PCI-DSS generated by ISOReady integrated builder</dc:description>
  <cp:lastModifiedBy/>
  <cp:revision>1</cp:revision>
  <dcterms:created xsi:type="dcterms:W3CDTF">2013-12-23T23:15:00Z</dcterms:created>
  <dcterms:modified xsi:type="dcterms:W3CDTF">2013-12-23T23:15:00Z</dcterms:modified>
  <cp:category>Procedure</cp:category>
</cp:coreProperties>
</file>