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keepNext/>
        <w:spacing w:before="360" w:after="240"/>
        <w:jc w:val="left"/>
      </w:pPr>
      <w:r>
        <w:rPr>
          <w:rFonts w:ascii="Aptos" w:hAnsi="Aptos" w:eastAsia="Aptos"/>
          <w:b/>
          <w:color w:val="1F4E79"/>
          <w:sz w:val="48"/>
        </w:rPr>
        <w:t>Information Security Policy</w:t>
      </w:r>
    </w:p>
    <w:p>
      <w:pPr>
        <w:pStyle w:val="Subtitle"/>
        <w:keepNext/>
        <w:spacing w:after="200" w:before="0"/>
        <w:jc w:val="left"/>
      </w:pPr>
      <w:r>
        <w:t>Policy | PCI-DSS</w:t>
      </w:r>
    </w:p>
    <w:p>
      <w:pPr>
        <w:pStyle w:val="Heading1"/>
      </w:pPr>
      <w:r>
        <w:t>Sample Preview Notice</w:t>
      </w:r>
    </w:p>
    <w:p>
      <w:r>
        <w:t>This is a sample / preview version of the PCI-DSS policy 'Information Security Policy'. It may be abbreviated or partially redacted for evaluation purposes. The full purchased pack contains the complete editable set and the full implementation-ready content.</w:t>
      </w:r>
    </w:p>
    <w:p>
      <w:pPr>
        <w:spacing w:after="120" w:line="276" w:lineRule="auto" w:before="0"/>
      </w:pPr>
      <w:r>
        <w:rPr>
          <w:rFonts w:ascii="Aptos" w:hAnsi="Aptos" w:eastAsia="Aptos"/>
          <w:sz w:val="22"/>
        </w:rPr>
        <w:t>Customise this document to match your operating model, retain evidence of approval, and review it in line with your governance cycle.</w:t>
      </w:r>
    </w:p>
    <w:tbl>
      <w:tblPr>
        <w:tblStyle w:val="TableGrid"/>
        <w:tblW w:type="auto" w:w="0"/>
        <w:jc w:val="center"/>
        <w:tblLayout w:type="autofit"/>
        <w:tblLook w:firstColumn="1" w:firstRow="1" w:lastColumn="0" w:lastRow="0" w:noHBand="0" w:noVBand="1" w:val="04A0"/>
      </w:tblPr>
      <w:tblGrid>
        <w:gridCol w:w="9792"/>
      </w:tblGrid>
      <w:tr>
        <w:tc>
          <w:tcPr>
            <w:tcW w:type="dxa" w:w="9792"/>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How to use this document: tailor the placeholders to your operating model, keep ownership current, and align linked procedures, registers, and evidence records.</w:t>
            </w:r>
          </w:p>
        </w:tc>
      </w:tr>
    </w:tbl>
    <w:p>
      <w:pPr>
        <w:spacing w:before="0" w:after="120" w:line="276" w:lineRule="auto"/>
      </w:pPr>
    </w:p>
    <w:p>
      <w:pPr>
        <w:pStyle w:val="Heading1"/>
        <w:keepNext/>
        <w:spacing w:before="320" w:after="160"/>
      </w:pPr>
      <w:r>
        <w:rPr>
          <w:rFonts w:ascii="Aptos" w:hAnsi="Aptos" w:eastAsia="Aptos"/>
          <w:b/>
          <w:color w:val="1F4E79"/>
          <w:sz w:val="32"/>
        </w:rPr>
        <w:t>Document Control</w:t>
      </w:r>
    </w:p>
    <w:tbl>
      <w:tblPr>
        <w:tblStyle w:val="TableGrid"/>
        <w:tblW w:type="auto" w:w="0"/>
        <w:jc w:val="center"/>
        <w:tblLayout w:type="autofit"/>
        <w:tblLook w:firstColumn="1" w:firstRow="1" w:lastColumn="0" w:lastRow="0" w:noHBand="0" w:noVBand="1" w:val="04A0"/>
      </w:tblPr>
      <w:tblGrid>
        <w:gridCol w:w="4896"/>
        <w:gridCol w:w="4896"/>
      </w:tblGrid>
      <w:tr>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Document Title</w:t>
            </w:r>
          </w:p>
        </w:tc>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Information Security Policy</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Framework</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PCI-DSS</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Category</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Policy</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Owner</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Security Manager</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Classification</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Internal</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Version</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1.0</w:t>
            </w:r>
          </w:p>
        </w:tc>
      </w:tr>
    </w:tbl>
    <w:p>
      <w:pPr>
        <w:spacing w:before="0" w:after="120" w:line="276" w:lineRule="auto"/>
      </w:pPr>
    </w:p>
    <w:p>
      <w:pPr>
        <w:pStyle w:val="Heading2"/>
        <w:keepNext/>
        <w:spacing w:before="200" w:after="100"/>
      </w:pPr>
      <w:r>
        <w:rPr>
          <w:rFonts w:ascii="Aptos" w:hAnsi="Aptos" w:eastAsia="Aptos"/>
          <w:b/>
          <w:color w:val="1F4E79"/>
          <w:sz w:val="26"/>
        </w:rPr>
        <w:t>Approval and Review</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Approved By</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Effective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Review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Status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Managing Director</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Approved</w:t>
            </w:r>
          </w:p>
        </w:tc>
      </w:tr>
    </w:tbl>
    <w:p>
      <w:pPr>
        <w:spacing w:before="0" w:after="120" w:line="276" w:lineRule="auto"/>
      </w:pPr>
    </w:p>
    <w:p>
      <w:pPr>
        <w:pStyle w:val="Heading2"/>
        <w:keepNext/>
        <w:spacing w:before="200" w:after="100"/>
      </w:pPr>
      <w:r>
        <w:rPr>
          <w:rFonts w:ascii="Aptos" w:hAnsi="Aptos" w:eastAsia="Aptos"/>
          <w:b/>
          <w:color w:val="1F4E79"/>
          <w:sz w:val="26"/>
        </w:rPr>
        <w:t>Revision History</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Version</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Author</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Changes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1.0</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ISOReady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Initial release</w:t>
            </w:r>
          </w:p>
        </w:tc>
      </w:tr>
    </w:tbl>
    <w:p>
      <w:pPr>
        <w:spacing w:before="0" w:after="120" w:line="276" w:lineRule="auto"/>
      </w:pPr>
      <w:r>
        <w:rPr>
          <w:rFonts w:ascii="Aptos" w:hAnsi="Aptos" w:eastAsia="Aptos"/>
          <w:sz w:val="22"/>
        </w:rPr>
        <w:br w:type="page"/>
      </w:r>
    </w:p>
    <w:p>
      <w:pPr>
        <w:pStyle w:val="Heading1"/>
        <w:keepNext/>
        <w:pageBreakBefore/>
        <w:spacing w:before="320" w:after="160"/>
      </w:pPr>
      <w:r>
        <w:rPr>
          <w:rFonts w:ascii="Aptos" w:hAnsi="Aptos" w:eastAsia="Aptos"/>
          <w:b/>
          <w:color w:val="1F4E79"/>
          <w:sz w:val="32"/>
        </w:rPr>
        <w:t>1. Purpose</w:t>
      </w:r>
    </w:p>
    <w:p>
      <w:pPr>
        <w:spacing w:before="0" w:after="120" w:line="276" w:lineRule="auto"/>
      </w:pPr>
      <w:r>
        <w:rPr>
          <w:rFonts w:ascii="Aptos" w:hAnsi="Aptos" w:eastAsia="Aptos"/>
          <w:sz w:val="22"/>
        </w:rPr>
        <w:t>Executive Summary Information Security Policy provides a management-level baseline for PCI-DSS and explains why consistent control adoption, ownership, and evidence matter. Purpose Define a structured approach to managing information security risks specific to the organisation’s SaaS operations, mandating controls, ownership, and evidence for ongoing PCI DSS compliance. Why the CDE control matters This policy matters because it should support disciplined operation of the cardholder data environment and credible evidence of control execution. It is most useful when it gives teams a workable operating baseline, not just approved wording.</w:t>
      </w:r>
    </w:p>
    <w:p>
      <w:pPr>
        <w:pStyle w:val="Heading1"/>
        <w:keepNext/>
        <w:spacing w:before="320" w:after="160"/>
      </w:pPr>
      <w:r>
        <w:rPr>
          <w:rFonts w:ascii="Aptos" w:hAnsi="Aptos" w:eastAsia="Aptos"/>
          <w:b/>
          <w:color w:val="1F4E79"/>
          <w:sz w:val="32"/>
        </w:rPr>
        <w:t>2. Scope</w:t>
      </w:r>
    </w:p>
    <w:p>
      <w:pPr>
        <w:spacing w:before="0" w:after="120" w:line="276" w:lineRule="auto"/>
      </w:pPr>
      <w:r>
        <w:rPr>
          <w:rFonts w:ascii="Aptos" w:hAnsi="Aptos" w:eastAsia="Aptos"/>
          <w:sz w:val="22"/>
        </w:rPr>
        <w:t>This policy applies to all permanent, temporary, and contract employees, and to all third parties with access to the organisation’s information assets, systems, and networks managed from the UK, regardless of location. It covers all digital and physical information assets used in the course of delivering SaaS products and services. Keep the wording operational and environment-focused, with explicit attention to the CDE, segmentation, logging, access, and evidence readiness.</w:t>
      </w:r>
    </w:p>
    <w:p>
      <w:pPr>
        <w:pStyle w:val="Heading1"/>
        <w:keepNext/>
        <w:spacing w:before="320" w:after="160"/>
      </w:pPr>
      <w:r>
        <w:rPr>
          <w:rFonts w:ascii="Aptos" w:hAnsi="Aptos" w:eastAsia="Aptos"/>
          <w:b/>
          <w:color w:val="1F4E79"/>
          <w:sz w:val="32"/>
        </w:rPr>
        <w:t>3. Objectives</w:t>
      </w:r>
    </w:p>
    <w:p>
      <w:pPr>
        <w:spacing w:before="0" w:after="120" w:line="276" w:lineRule="auto"/>
      </w:pPr>
      <w:r>
        <w:rPr>
          <w:rFonts w:ascii="Aptos" w:hAnsi="Aptos" w:eastAsia="Aptos"/>
          <w:sz w:val="22"/>
        </w:rPr>
        <w:t>Protect the confidentiality, integrity, and availability of information; establish formal security governance; support legal, regulatory, and contractual compliance; and provide a clear baseline for risk-based decision making. What Good Looks Like A credible implementation state is demonstrated by approved documentation, consistent operational use, and evidence records showing the control is functioning in practice. It covers all digital and physical information assets used in the course of delivering SaaS products and services. Keep the wording operational and environment-focused, with explicit attention to the CDE, segmentation, logging, access, and evidence readiness.</w:t>
      </w:r>
    </w:p>
    <w:p>
      <w:pPr>
        <w:pStyle w:val="Heading1"/>
        <w:keepNext/>
        <w:spacing w:before="320" w:after="160"/>
      </w:pPr>
      <w:r>
        <w:rPr>
          <w:rFonts w:ascii="Aptos" w:hAnsi="Aptos" w:eastAsia="Aptos"/>
          <w:b/>
          <w:color w:val="1F4E79"/>
          <w:sz w:val="32"/>
        </w:rPr>
        <w:t>4. Policy Statements</w:t>
      </w:r>
    </w:p>
    <w:p>
      <w:pPr>
        <w:spacing w:before="0" w:after="120" w:line="276" w:lineRule="auto"/>
      </w:pPr>
      <w:r>
        <w:rPr>
          <w:rFonts w:ascii="Aptos" w:hAnsi="Aptos" w:eastAsia="Aptos"/>
          <w:sz w:val="22"/>
        </w:rPr>
        <w:t>1. Information security risks must be managed under a documented the documented PCI control environment led by the Information Security Officer, using asset registers and a risk register reviewed at least annually. 2. All assets (including SaaS source code, production data, customer data, and cloud infrastructure) must be recorded, classified, and assigned a named asset owner in the Asset Register. 3. Access to production environments, repositories, and confidential data must be allocated on documented least-privilege principles, with all user access records maintained and access rights reviewed quarterly. 4. Any suspected or actual security incident, including potential data breaches, must be reported by email to security@yourcompany.co.uk within an organisation-defined timeframe of identification, triggering the documented incident response workflow. 5. Changes to critical SaaS platforms (including deployments and third-party integrations) require dual approval via the Internal Policy Portal, with all approvals logged. 6. Security policies, procedures, and controls must be subject to annual review by the responsible security lead, with all amendments logged and disseminated via the Internal Policy Portal. 7. Only approved cloud and SaaS platforms (recorded in the Approved Supplier Register) should be used to store or process customer or corporate data. 8. All staff and contractors must complete mandatory annual security awareness training, with completion records retained in the HR system and spot-checked by the security owner. 9. Evidence of control operation (e.g., asset registers, access reviews, incident reports) must be available for audit inspection on request within an organisation-defined timeframe. 10. Escalation of unresolved risks or unmitigated incidents is to the Managing Director, with notification records held with the the documented PCI control environment documentation. Keep the wording operational and environment-focused, with explicit attention to the CDE, segmentation, logging, access, and evidence readiness.</w:t>
      </w:r>
    </w:p>
    <w:p>
      <w:pPr>
        <w:pStyle w:val="Heading1"/>
        <w:keepNext/>
        <w:spacing w:before="320" w:after="160"/>
      </w:pPr>
      <w:r>
        <w:rPr>
          <w:rFonts w:ascii="Aptos" w:hAnsi="Aptos" w:eastAsia="Aptos"/>
          <w:b/>
          <w:color w:val="1F4E79"/>
          <w:sz w:val="32"/>
        </w:rPr>
        <w:t>5. Roles and Responsibilities</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Information Security Policy document expands this area with customer-ready detail.</w:t>
      </w:r>
    </w:p>
    <w:p>
      <w:pPr>
        <w:pStyle w:val="Heading1"/>
        <w:keepNext/>
        <w:spacing w:before="320" w:after="160"/>
      </w:pPr>
      <w:r>
        <w:rPr>
          <w:rFonts w:ascii="Aptos" w:hAnsi="Aptos" w:eastAsia="Aptos"/>
          <w:b/>
          <w:color w:val="1F4E79"/>
          <w:sz w:val="32"/>
        </w:rPr>
        <w:t>6. Implementation Guidance</w:t>
      </w:r>
    </w:p>
    <w:p>
      <w:pPr>
        <w:spacing w:before="0" w:after="120" w:line="276" w:lineRule="auto"/>
      </w:pPr>
      <w:r>
        <w:rPr>
          <w:rFonts w:ascii="Aptos" w:hAnsi="Aptos" w:eastAsia="Aptos"/>
          <w:sz w:val="22"/>
        </w:rPr>
        <w:t>Use this section to explain how teams should apply the document in practice. The full pack version of this section includes detailed control expectations, ownership guidance, review requirements, and implementation notes.</w:t>
      </w:r>
    </w:p>
    <w:p>
      <w:pPr>
        <w:pStyle w:val="Heading1"/>
        <w:keepNext/>
        <w:spacing w:before="320" w:after="160"/>
      </w:pPr>
      <w:r>
        <w:rPr>
          <w:rFonts w:ascii="Aptos" w:hAnsi="Aptos" w:eastAsia="Aptos"/>
          <w:b/>
          <w:color w:val="1F4E79"/>
          <w:sz w:val="32"/>
        </w:rPr>
        <w:t>7. How to Use This Document</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Information Security Policy document expands this area with customer-ready detail.</w:t>
      </w:r>
    </w:p>
    <w:p>
      <w:pPr>
        <w:pStyle w:val="Heading1"/>
        <w:keepNext/>
        <w:spacing w:before="320" w:after="160"/>
      </w:pPr>
      <w:r>
        <w:rPr>
          <w:rFonts w:ascii="Aptos" w:hAnsi="Aptos" w:eastAsia="Aptos"/>
          <w:b/>
          <w:color w:val="1F4E79"/>
          <w:sz w:val="32"/>
        </w:rPr>
        <w:t>8. Supporting Documents</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Information Security Policy document expands this area with customer-ready detail.</w:t>
      </w:r>
    </w:p>
    <w:p>
      <w:pPr>
        <w:pStyle w:val="Heading1"/>
        <w:keepNext/>
        <w:spacing w:before="320" w:after="160"/>
      </w:pPr>
      <w:r>
        <w:rPr>
          <w:rFonts w:ascii="Aptos" w:hAnsi="Aptos" w:eastAsia="Aptos"/>
          <w:b/>
          <w:color w:val="1F4E79"/>
          <w:sz w:val="32"/>
        </w:rPr>
        <w:t>9. Control Mapping</w:t>
      </w:r>
    </w:p>
    <w:p>
      <w:pPr>
        <w:spacing w:before="0" w:after="120" w:line="276" w:lineRule="auto"/>
      </w:pPr>
      <w:r>
        <w:rPr>
          <w:rFonts w:ascii="Aptos" w:hAnsi="Aptos" w:eastAsia="Aptos"/>
          <w:sz w:val="22"/>
        </w:rPr>
        <w:t>Use this section to link the document to controls, evidence, and traceability expectations. The full pack version of this section includes detailed control expectations, ownership guidance, review requirements, and implementation notes.</w:t>
      </w:r>
    </w:p>
    <w:p>
      <w:pPr>
        <w:pStyle w:val="Heading1"/>
        <w:keepNext/>
        <w:spacing w:before="320" w:after="160"/>
      </w:pPr>
      <w:r>
        <w:rPr>
          <w:rFonts w:ascii="Aptos" w:hAnsi="Aptos" w:eastAsia="Aptos"/>
          <w:b/>
          <w:color w:val="1F4E79"/>
          <w:sz w:val="32"/>
        </w:rPr>
        <w:t>10. Review and Maintenance</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Information Security Policy document expands this area with customer-ready detail.</w:t>
      </w:r>
    </w:p>
    <w:p>
      <w:pPr>
        <w:pStyle w:val="Heading1"/>
        <w:keepNext/>
        <w:spacing w:before="320" w:after="160"/>
      </w:pPr>
      <w:r>
        <w:rPr>
          <w:rFonts w:ascii="Aptos" w:hAnsi="Aptos" w:eastAsia="Aptos"/>
          <w:b/>
          <w:color w:val="1F4E79"/>
          <w:sz w:val="32"/>
        </w:rPr>
        <w:t>11. Enforcement</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Information Security Policy document expands this area with customer-ready detail.</w:t>
      </w:r>
    </w:p>
    <w:sectPr w:rsidR="00FC693F" w:rsidRPr="0006063C" w:rsidSect="00034616">
      <w:headerReference w:type="default" r:id="rId9"/>
      <w:footerReference w:type="default" r:id="rId10"/>
      <w:pgSz w:w="12240" w:h="15840"/>
      <w:pgMar w:top="1080" w:right="1224" w:bottom="1008" w:left="1224" w:header="504"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w:hAnsi="Aptos" w:eastAsia="Aptos"/>
        <w:sz w:val="18"/>
      </w:rPr>
      <w:t xml:space="preserve">Information Security Policy | Version 1.0 | Internal | Page </w:t>
    </w:r>
    <w:r>
      <w:fldChar w:fldCharType="begin"/>
    </w:r>
    <w:r>
      <w:instrText xml:space="preserve"> PAGE </w:instrText>
    </w:r>
    <w:r>
      <w:fldChar w:fldCharType="separate"/>
    </w:r>
    <w:r>
      <w:t>1</w:t>
    </w:r>
    <w:r>
      <w:fldChar w:fldCharType="end"/>
    </w:r>
    <w:r>
      <w:rPr>
        <w:rFonts w:ascii="Aptos" w:hAnsi="Aptos" w:eastAsia="Aptos"/>
        <w:sz w:val="18"/>
      </w:rPr>
      <w:t xml:space="preserve"> of </w:t>
    </w:r>
    <w:r>
      <w:fldChar w:fldCharType="begin"/>
    </w:r>
    <w:r>
      <w:instrText xml:space="preserve"> NUMPAGES </w:instrText>
    </w:r>
    <w:r>
      <w:fldChar w:fldCharType="separate"/>
    </w:r>
    <w: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sz w:val="18"/>
      </w:rPr>
      <w:t>SAMPLE / PREVIEW / NOT FOR OPERATIONAL USE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b w:val="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Aptos" w:hAnsi="Aptos" w:eastAsia="Aptos"/>
      <w:sz w:val="20"/>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Aptos" w:hAnsi="Aptos" w:eastAsia="Aptos"/>
      <w:sz w:val="18"/>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eastAsia="Aptos"/>
      <w:b/>
      <w:bCs/>
      <w:color w:val="1F4E79"/>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4546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eastAsia="Aptos"/>
      <w:b/>
      <w:color w:val="17365D" w:themeColor="text2" w:themeShade="B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eastAsia="Aptos"/>
      <w:b w:val="0"/>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Security Policy</dc:title>
  <dc:subject>PCI-DSS</dc:subject>
  <dc:creator>ISOReady</dc:creator>
  <cp:keywords/>
  <dc:description>PCI-DSS generated by ISOReady integrated builder</dc:description>
  <cp:lastModifiedBy/>
  <cp:revision>1</cp:revision>
  <dcterms:created xsi:type="dcterms:W3CDTF">2013-12-23T23:15:00Z</dcterms:created>
  <dcterms:modified xsi:type="dcterms:W3CDTF">2013-12-23T23:15:00Z</dcterms:modified>
  <cp:category>Policy</cp:category>
</cp:coreProperties>
</file>