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Data Processing Agreement (DPA) Template</w:t>
      </w:r>
    </w:p>
    <w:p>
      <w:pPr>
        <w:pStyle w:val="Subtitle"/>
        <w:keepNext/>
        <w:spacing w:after="200" w:before="0"/>
        <w:jc w:val="left"/>
      </w:pPr>
      <w:r>
        <w:t>Template | ISO/IEC 27701 Privacy Information Management System (PIMS)</w:t>
      </w:r>
    </w:p>
    <w:p>
      <w:pPr>
        <w:pStyle w:val="Heading1"/>
      </w:pPr>
      <w:r>
        <w:t>Sample Preview Notice</w:t>
      </w:r>
    </w:p>
    <w:p>
      <w:r>
        <w:t>This is a sample / preview version of the ISO/IEC 27701 Privacy Information Management System (PIMS) template 'Data Processing Agreement (DPA) Template'.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Data Processing Agreement (DPA) Template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ISO/IEC 27701 Privacy Information Management System (PIMS)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Legal Counsel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Confidential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2.0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2.0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Data Processing Agreement (DPA) Template gives staff a controlled, repeatable way to complete the activity and retain suitable evidence for review. Purpose This Data Processing Agreement (DPA) template establishes the contractual obligations governing all personal data processing activities conducted by or on behalf of the organisation. It is designed for use whenever the organisation acts either as a data controller or processor in line with ISO/IEC 27701, stipulating operational privacy safeguards, third-party engagement controls, and privacy rights management. The DPA template addresses cross-jurisdictional PII handling requirements (UK, EU, US), assigns mandatory privacy risk mitigation, establishes data subject rights protocols, and provides an auditable basis for demonstrating regulatory and client compliance. Why This Matters This template matters because it should support privacy governance, controlled PII handling, and stronger accountability for rights, retention, and third-party processing. It is most useful when it gives teams a workable operating baseline, not just approved wording. It should align to the mapped control area '6.8.2', 9 related evidence references, 8 related risk items. What Good Looks Like A strong outcome is visible through controlled use of the document, accountable ownership, and evidence that reviewers can trace without extra explanation.</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DPA template applies to all supplier, customer, partner, and subcontractor relationships involving the processing of personal data or personally identifiable information (PII) managed or hosted by the organisation. It covers data types including (but not limited to) employee records, prospect data, customer platform data, support tickets, and supplier contact details, whether processed as controller or processor. Mandatory adoption is required for every third-party supplier or client where personal data is exchanged, stored, or accessed as part of commercial arrangements. Internal use is restricted to privacy and information governance Officer, Privacy Lead, Procurement Lead, Legal, and Managed Director for approval and ongoing management. All executed DPAs are to be held within the Internal Policy Portal with restricted access for audit and review purposes. Required privacy-management activity The DPA template is triggered whenever a new supplier, partner, subcontractor, or customer agreement involves access to or processing of personal data managed by the organisation. It must also be initiated in the following scenarios: (a) Onboarding or re-engagement of any supplier with data processing duties; (b) Execution of customer contracts involving platform data hosting, handling, or analytics; (c) Prior to significant changes in processing activities, such as deploying a new system on AWS, onboarding a new HR/payroll provider, or updating integration partners; (d) When existing supplier or client contracts are tendered for renewal or amendment involving personal data flows; (e) Following a privacy due diligence action flagged by the Procurement Lead, Legal, or privacy owner. Inputs required: completed supplier risk assessment (Procurement Lead), documented data flows (privacy owner), and summary of processing purposes and jurisdictions involved.</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The DPA template is triggered whenever a new supplier, partner, subcontractor, or customer agreement involves access to or processing of personal data managed by the organisation.</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Initiation: Procurement Lead or Privacy Lead identifies a new or amended processing relationship through the contract intake workflow or supplier onboarding register. 2. Engagement: Procurement Lead requests completion of the standardised DPA template from the relevant supplier/customer, using the latest version stored on the Internal Policy Portal. 3. Information Capture: Legal (or privacy owner, as delegated) validates detailed processing specifics—data categories, purposes, transfer mechanisms, geographic locations—from both parties, and confirms these against the relevant ROPA entry. 4. Review of Contractual Terms: privacy and information governance Officer verifies inclusion of required ISO/IEC 27701 terms—data subject rights obligations, sub-processor restrictions, audit/inspection rights, security incident notification (24-hour window via security@yourcompany.co.uk), data retention and deletion timelines, and lawful processing requirements. 5. Risk Check: Procurement Lead reviews supplier’s privacy due diligence records and confirms completion. Any deficiencies are logged in the Supplier Due Diligence Register with an assigned action owner and required mitigation deadline. 6. Alignment Meeting: Convene a meeting between Internal privacy owner, security owner, and relevant business stakeholders. Actions and outcomes are minuted and added to the Privacy Governance action log. 7. Approval: Draft DPA is routed via the Internal Policy Portal workflow to the Managing Director for formal approval. Approval or rejection is logged in the DPA Approval Register, including timestamp and approver ID. 8. Execution: Once approved, DPA is executed via e-signature. Fully signed DPA is uploaded to the Internal Policy Portal and linked to the supplier/customer contract file. Confirmation email sent to all stakeholders. 9. Evidence and ROPA Update: privacy function lead updates ROPA with new or changed processing activity; documents DPA execution date, supplier name, contract term, and data flow details. All supporting evidence (minutes, approvals, due diligence) retained in the Privacy Evidence Register. 10. Annual Review Cycle: DPA is flagged for review at least annually or upon a material change to processing arrangements, triggered and tracked via the Internal Policy Portal. Legal and delegated privacy contact jointly review legal adequacy and operational fit, with update decisions logged and previous DPA versions archived.</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template includes editable working fields, completion guidance, review prompts, and implementation support content. The full Data Processing Agreement (DPA) Template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full template includes editable working fields, completion guidance, review prompts, and implementation support content.</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full template includes editable working fields, completion guidance, review prompts, and implementation support content. The full Data Processing Agreement (DPA) Template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template includes editable working fields, completion guidance, review prompts, and implementation support content. The full Data Processing Agreement (DPA) Template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full template includes editable working fields, completion guidance, review prompts, and implementation support content.</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Data Processing Agreement (DPA) Template | Version 2.0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Processing Agreement (DPA) Template</dc:title>
  <dc:subject>ISO/IEC 27701 Privacy Information Management System (PIMS)</dc:subject>
  <dc:creator>ISOReady</dc:creator>
  <cp:keywords/>
  <dc:description>ISO/IEC 27701 Privacy Information Management System (PIMS) generated by ISOReady integrated builder</dc:description>
  <cp:lastModifiedBy/>
  <cp:revision>1</cp:revision>
  <dcterms:created xsi:type="dcterms:W3CDTF">2013-12-23T23:15:00Z</dcterms:created>
  <dcterms:modified xsi:type="dcterms:W3CDTF">2013-12-23T23:15:00Z</dcterms:modified>
  <cp:category>Template</cp:category>
</cp:coreProperties>
</file>