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keepNext/>
        <w:spacing w:before="360" w:after="240"/>
        <w:jc w:val="left"/>
      </w:pPr>
      <w:r>
        <w:rPr>
          <w:rFonts w:ascii="Aptos" w:hAnsi="Aptos" w:eastAsia="Aptos"/>
          <w:b/>
          <w:color w:val="1F4E79"/>
          <w:sz w:val="48"/>
        </w:rPr>
        <w:t>Privacy Risk Assessment Methodology</w:t>
      </w:r>
    </w:p>
    <w:p>
      <w:pPr>
        <w:pStyle w:val="Subtitle"/>
        <w:keepNext/>
        <w:spacing w:after="200" w:before="0"/>
        <w:jc w:val="left"/>
      </w:pPr>
      <w:r>
        <w:t>Guidance | ISO/IEC 27701 Privacy Information Management System (PIMS)</w:t>
      </w:r>
    </w:p>
    <w:p>
      <w:pPr>
        <w:pStyle w:val="Heading1"/>
      </w:pPr>
      <w:r>
        <w:t>Sample Preview Notice</w:t>
      </w:r>
    </w:p>
    <w:p>
      <w:r>
        <w:t>This is a sample / preview version of the ISO/IEC 27701 Privacy Information Management System (PIMS) guidance 'Privacy Risk Assessment Methodology'. It may be abbreviated or partially redacted for evaluation purposes. The full purchased pack contains the complete editable set and the full implementation-ready content.</w:t>
      </w:r>
    </w:p>
    <w:p>
      <w:pPr>
        <w:spacing w:after="120" w:line="276" w:lineRule="auto" w:before="0"/>
      </w:pPr>
      <w:r>
        <w:rPr>
          <w:rFonts w:ascii="Aptos" w:hAnsi="Aptos" w:eastAsia="Aptos"/>
          <w:sz w:val="22"/>
        </w:rPr>
        <w:t>Customise this document to match your operating model, retain evidence of approval, and review it in line with your governance cycle.</w:t>
      </w:r>
    </w:p>
    <w:tbl>
      <w:tblPr>
        <w:tblStyle w:val="TableGrid"/>
        <w:tblW w:type="auto" w:w="0"/>
        <w:jc w:val="center"/>
        <w:tblLayout w:type="autofit"/>
        <w:tblLook w:firstColumn="1" w:firstRow="1" w:lastColumn="0" w:lastRow="0" w:noHBand="0" w:noVBand="1" w:val="04A0"/>
      </w:tblPr>
      <w:tblGrid>
        <w:gridCol w:w="9792"/>
      </w:tblGrid>
      <w:tr>
        <w:tc>
          <w:tcPr>
            <w:tcW w:type="dxa" w:w="9792"/>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How to use this document: tailor the placeholders to your operating model, keep ownership current, and align linked procedures, registers, and evidence records.</w:t>
            </w:r>
          </w:p>
        </w:tc>
      </w:tr>
    </w:tbl>
    <w:p>
      <w:pPr>
        <w:spacing w:before="0" w:after="120" w:line="276" w:lineRule="auto"/>
      </w:pPr>
    </w:p>
    <w:p>
      <w:pPr>
        <w:pStyle w:val="Heading1"/>
        <w:keepNext/>
        <w:spacing w:before="320" w:after="160"/>
      </w:pPr>
      <w:r>
        <w:rPr>
          <w:rFonts w:ascii="Aptos" w:hAnsi="Aptos" w:eastAsia="Aptos"/>
          <w:b/>
          <w:color w:val="1F4E79"/>
          <w:sz w:val="32"/>
        </w:rPr>
        <w:t>Document Control</w:t>
      </w:r>
    </w:p>
    <w:tbl>
      <w:tblPr>
        <w:tblStyle w:val="TableGrid"/>
        <w:tblW w:type="auto" w:w="0"/>
        <w:jc w:val="center"/>
        <w:tblLayout w:type="autofit"/>
        <w:tblLook w:firstColumn="1" w:firstRow="1" w:lastColumn="0" w:lastRow="0" w:noHBand="0" w:noVBand="1" w:val="04A0"/>
      </w:tblPr>
      <w:tblGrid>
        <w:gridCol w:w="4896"/>
        <w:gridCol w:w="4896"/>
      </w:tblGrid>
      <w:tr>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Document Title</w:t>
            </w:r>
          </w:p>
        </w:tc>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Privacy Risk Assessment Methodology</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Framework</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ISO/IEC 27701 Privacy Information Management System (PIMS)</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Category</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Guidance</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Owner</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Privacy Lead</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Classification</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Internal</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Version</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2.0</w:t>
            </w:r>
          </w:p>
        </w:tc>
      </w:tr>
    </w:tbl>
    <w:p>
      <w:pPr>
        <w:spacing w:before="0" w:after="120" w:line="276" w:lineRule="auto"/>
      </w:pPr>
    </w:p>
    <w:p>
      <w:pPr>
        <w:pStyle w:val="Heading2"/>
        <w:keepNext/>
        <w:spacing w:before="200" w:after="100"/>
      </w:pPr>
      <w:r>
        <w:rPr>
          <w:rFonts w:ascii="Aptos" w:hAnsi="Aptos" w:eastAsia="Aptos"/>
          <w:b/>
          <w:color w:val="1F4E79"/>
          <w:sz w:val="26"/>
        </w:rPr>
        <w:t>Approval and Review</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Approved By</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Effective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Review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Status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Managing Director</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Approved</w:t>
            </w:r>
          </w:p>
        </w:tc>
      </w:tr>
    </w:tbl>
    <w:p>
      <w:pPr>
        <w:spacing w:before="0" w:after="120" w:line="276" w:lineRule="auto"/>
      </w:pPr>
    </w:p>
    <w:p>
      <w:pPr>
        <w:pStyle w:val="Heading2"/>
        <w:keepNext/>
        <w:spacing w:before="200" w:after="100"/>
      </w:pPr>
      <w:r>
        <w:rPr>
          <w:rFonts w:ascii="Aptos" w:hAnsi="Aptos" w:eastAsia="Aptos"/>
          <w:b/>
          <w:color w:val="1F4E79"/>
          <w:sz w:val="26"/>
        </w:rPr>
        <w:t>Revision History</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Version</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Author</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Changes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2.0</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ISOReady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Initial release</w:t>
            </w:r>
          </w:p>
        </w:tc>
      </w:tr>
    </w:tbl>
    <w:p>
      <w:pPr>
        <w:spacing w:before="0" w:after="120" w:line="276" w:lineRule="auto"/>
      </w:pPr>
      <w:r>
        <w:rPr>
          <w:rFonts w:ascii="Aptos" w:hAnsi="Aptos" w:eastAsia="Aptos"/>
          <w:sz w:val="22"/>
        </w:rPr>
        <w:br w:type="page"/>
      </w:r>
    </w:p>
    <w:p>
      <w:pPr>
        <w:pStyle w:val="Heading1"/>
        <w:keepNext/>
        <w:pageBreakBefore/>
        <w:spacing w:before="320" w:after="160"/>
      </w:pPr>
      <w:r>
        <w:rPr>
          <w:rFonts w:ascii="Aptos" w:hAnsi="Aptos" w:eastAsia="Aptos"/>
          <w:b/>
          <w:color w:val="1F4E79"/>
          <w:sz w:val="32"/>
        </w:rPr>
        <w:t>1. Overview</w:t>
      </w:r>
    </w:p>
    <w:p>
      <w:pPr>
        <w:spacing w:before="0" w:after="120" w:line="276" w:lineRule="auto"/>
      </w:pPr>
      <w:r>
        <w:rPr>
          <w:rFonts w:ascii="Aptos" w:hAnsi="Aptos" w:eastAsia="Aptos"/>
          <w:sz w:val="22"/>
        </w:rPr>
        <w:t>Executive Summary Privacy Risk Assessment Methodology gives a practical, business-friendly route to stronger ISO/IEC 27701 Privacy Information Management System (PIMS) adoption without unnecessary bureaucracy. Purpose This Privacy Risk Assessment Methodology establishes a structured risk identification, evaluation, and treatment process for personal data processing activities at the organisation. The methodology underpins the PIMS and evidences compliance with ISO/IEC 27701 control 6.1.2 (privacy risk assessment and treatment) and supports 6.12.2 (high-risk processing review and approval). It is designed for the organisation’s SaaS service model as both controller (HR, prospect data) and processor (customer platform data), and encompasses activities across UK/EU/US jurisdictions. The process is built to address risks such as incomplete ROPA, delayed DSAR responses, supplier processing without robust contracts, and unauthorised retention or deletion. The methodology is reviewed annually by the privacy and information governance Officer and must be approved by the Managing Director via the Internal Policy Portal. Why This Matters This guidance matters because it should support privacy governance, controlled PII handling, and stronger accountability for rights, retention, and third-party processing. It is most useful when it gives teams a workable operating baseline, not just approved wording. It should align to the mapped control area '6.1.2', 9 related evidence references, 8 related risk items.</w:t>
      </w:r>
    </w:p>
    <w:p>
      <w:pPr>
        <w:pStyle w:val="Heading1"/>
        <w:keepNext/>
        <w:spacing w:before="320" w:after="160"/>
      </w:pPr>
      <w:r>
        <w:rPr>
          <w:rFonts w:ascii="Aptos" w:hAnsi="Aptos" w:eastAsia="Aptos"/>
          <w:b/>
          <w:color w:val="1F4E79"/>
          <w:sz w:val="32"/>
        </w:rPr>
        <w:t>2. When to Use This Guidance</w:t>
      </w:r>
    </w:p>
    <w:p>
      <w:pPr>
        <w:spacing w:before="0" w:after="120" w:line="276" w:lineRule="auto"/>
      </w:pPr>
      <w:r>
        <w:rPr>
          <w:rFonts w:ascii="Aptos" w:hAnsi="Aptos" w:eastAsia="Aptos"/>
          <w:sz w:val="22"/>
        </w:rPr>
        <w:t>Apply this methodology when: (1) onboarding new data processing activities or suppliers; (2) designing, modifying, or decommissioning systems that process PII (including features hosted on AWS); (3) handling high-risk processing (as defined by potential impact to data subjects, for example, large-scope profiling, cross-border transfers, or processing of special categories); (4) fulfilling regulatory requirements for Data Protection Impact Assessments (DPIAs); (5) responding to incidents that expose or compromise personal data; (6) undertaking regular risk register reviews or following material changes in the privacy threat landscape. All risk assessments must be logged in the central privacy risk register maintained by the Privacy Lead.</w:t>
      </w:r>
    </w:p>
    <w:p>
      <w:pPr>
        <w:pStyle w:val="Heading1"/>
        <w:keepNext/>
        <w:spacing w:before="320" w:after="160"/>
      </w:pPr>
      <w:r>
        <w:rPr>
          <w:rFonts w:ascii="Aptos" w:hAnsi="Aptos" w:eastAsia="Aptos"/>
          <w:b/>
          <w:color w:val="1F4E79"/>
          <w:sz w:val="32"/>
        </w:rPr>
        <w:t>3. Recommended Approach</w:t>
      </w:r>
    </w:p>
    <w:p>
      <w:pPr>
        <w:spacing w:before="0" w:after="120" w:line="276" w:lineRule="auto"/>
      </w:pPr>
      <w:r>
        <w:rPr>
          <w:rFonts w:ascii="Aptos" w:hAnsi="Aptos" w:eastAsia="Aptos"/>
          <w:sz w:val="22"/>
        </w:rPr>
        <w:t>1. Trigger event: Identify processing changes requiring assessment (e.g., new product features, supplier onboarding, or detected architecture changes). The project owner must notify the Privacy Lead within an organisation-defined timeframe (example default: one business day, adjust as required), copying security@yourcompany.co.uk for record. 2. Information gathering: Complete a Privacy Risk Assessment (PRA) form capturing: - Description of processing (purpose, lawful basis, data flows) - Data types, PII categories, and data subject groups affected - Storage/processing locations (with AWS region/specifics) - Recipients, including all third-parties or subprocessors - Existing controls and mitigations - Potential privacy risks and impact scenarios (draw from R-001 to R-008) 3. Risk analysis: delegated privacy contact evaluates inherent likelihood/impact, referencing the current privacy risk register. Assign risk ratings per standard matrix (Critical/High/Medium/Low), documenting rationale. 4. Determination of need for DPIA: For high-risk or significantly changed processing, the delegated privacy contact must escalate to a DPIA - outcome documented, with Managing Director approval recorded in the Risk Management repository. All DPIAs must be completed before launch or supplier activation. 5. Treatment action planning: For risks above the moderate threshold (per company risk appetite), specify concrete mitigation actions, owners, and target dates. Record actions and evidence deadlines in the central log. 6. Review and approval: The final PRA and action plan are reviewed by the privacy and information governance Officer, and require approval from the responsible manager via workflow on the Internal Policy Portal. All approved assessments are archived with version control. 7. Ongoing monitoring: The privacy function lead monitors completion of mitigating actions and logs ongoing evidences (DPIA approvals, updated ROPAs, supplier DPA reviews) as per the PIMS evidence matrix. Reassessment is mandatory if a risk profile changes materially, or annually as part of PIMS review. Implementation Steps - Mandate completion of PRA forms before build or procurement sign-off, not post implementation. - Require documented sign-off from both delegated privacy contact and MD for high-risk processing or supplier onboarding. - Attach supporting records (data flow diagrams, approved DPAs, retention schedules, disposal logs) to each assessment to support auditability. - Standardise risk rating rubrics and mitigation tracking using the central privacy risk register. - Schedule quarterly evidence reviews, matching artefacts (e.g., ROPA extracts, DSAR logs) against risk treatments. - Track pending action items and overdue treatments via workflow alerts; escalate unresolved risks to the MD after an organisation-defined period (example default: five business days, adjust as required) past agreed deadlines. - Publish anonymised case studies of completed assessments on the Internal Policy Portal to embed privacy-by-design culture among staff and dev teams.</w:t>
      </w:r>
    </w:p>
    <w:p>
      <w:pPr>
        <w:pStyle w:val="Heading1"/>
        <w:keepNext/>
        <w:spacing w:before="320" w:after="160"/>
      </w:pPr>
      <w:r>
        <w:rPr>
          <w:rFonts w:ascii="Aptos" w:hAnsi="Aptos" w:eastAsia="Aptos"/>
          <w:b/>
          <w:color w:val="1F4E79"/>
          <w:sz w:val="32"/>
        </w:rPr>
        <w:t>4. Best Practices</w:t>
      </w:r>
    </w:p>
    <w:p>
      <w:pPr>
        <w:spacing w:before="0" w:after="120" w:line="276" w:lineRule="auto"/>
      </w:pPr>
      <w:r>
        <w:rPr>
          <w:rFonts w:ascii="Aptos" w:hAnsi="Aptos" w:eastAsia="Aptos"/>
          <w:sz w:val="22"/>
        </w:rPr>
        <w:t>The full guidance note includes broader implementation advice, examples, role expectations, and maintenance detail. The full Privacy Risk Assessment Methodology document expands this area with customer-ready detail.</w:t>
      </w:r>
    </w:p>
    <w:p>
      <w:pPr>
        <w:pStyle w:val="Heading1"/>
        <w:keepNext/>
        <w:spacing w:before="320" w:after="160"/>
      </w:pPr>
      <w:r>
        <w:rPr>
          <w:rFonts w:ascii="Aptos" w:hAnsi="Aptos" w:eastAsia="Aptos"/>
          <w:b/>
          <w:color w:val="1F4E79"/>
          <w:sz w:val="32"/>
        </w:rPr>
        <w:t>5. Common Pitfalls</w:t>
      </w:r>
    </w:p>
    <w:p>
      <w:pPr>
        <w:spacing w:before="0" w:after="120" w:line="276" w:lineRule="auto"/>
      </w:pPr>
      <w:r>
        <w:rPr>
          <w:rFonts w:ascii="Aptos" w:hAnsi="Aptos" w:eastAsia="Aptos"/>
          <w:sz w:val="22"/>
        </w:rPr>
        <w:t>Use this section to flag mistakes, blind spots, and avoidable rework. The full guidance note includes broader implementation advice, examples, role expectations, and maintenance detail.</w:t>
      </w:r>
    </w:p>
    <w:p>
      <w:pPr>
        <w:pStyle w:val="Heading1"/>
        <w:keepNext/>
        <w:spacing w:before="320" w:after="160"/>
      </w:pPr>
      <w:r>
        <w:rPr>
          <w:rFonts w:ascii="Aptos" w:hAnsi="Aptos" w:eastAsia="Aptos"/>
          <w:b/>
          <w:color w:val="1F4E79"/>
          <w:sz w:val="32"/>
        </w:rPr>
        <w:t>6. Supporting Documents</w:t>
      </w:r>
    </w:p>
    <w:p>
      <w:pPr>
        <w:spacing w:before="0" w:after="120" w:line="276" w:lineRule="auto"/>
      </w:pPr>
      <w:r>
        <w:rPr>
          <w:rFonts w:ascii="Aptos" w:hAnsi="Aptos" w:eastAsia="Aptos"/>
          <w:sz w:val="22"/>
        </w:rPr>
        <w:t>The full guidance note includes broader implementation advice, examples, role expectations, and maintenance detail. The full Privacy Risk Assessment Methodology document expands this area with customer-ready detail.</w:t>
      </w:r>
    </w:p>
    <w:sectPr w:rsidR="00FC693F" w:rsidRPr="0006063C" w:rsidSect="00034616">
      <w:headerReference w:type="default" r:id="rId9"/>
      <w:footerReference w:type="default" r:id="rId10"/>
      <w:pgSz w:w="12240" w:h="15840"/>
      <w:pgMar w:top="1080" w:right="1224" w:bottom="1008" w:left="1224" w:header="504"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w:hAnsi="Aptos" w:eastAsia="Aptos"/>
        <w:sz w:val="18"/>
      </w:rPr>
      <w:t xml:space="preserve">Privacy Risk Assessment Methodology | Version 2.0 | Internal | Page </w:t>
    </w:r>
    <w:r>
      <w:fldChar w:fldCharType="begin"/>
    </w:r>
    <w:r>
      <w:instrText xml:space="preserve"> PAGE </w:instrText>
    </w:r>
    <w:r>
      <w:fldChar w:fldCharType="separate"/>
    </w:r>
    <w:r>
      <w:t>1</w:t>
    </w:r>
    <w:r>
      <w:fldChar w:fldCharType="end"/>
    </w:r>
    <w:r>
      <w:rPr>
        <w:rFonts w:ascii="Aptos" w:hAnsi="Aptos" w:eastAsia="Aptos"/>
        <w:sz w:val="18"/>
      </w:rPr>
      <w:t xml:space="preserve"> of </w:t>
    </w:r>
    <w:r>
      <w:fldChar w:fldCharType="begin"/>
    </w:r>
    <w:r>
      <w:instrText xml:space="preserve"> NUMPAGES </w:instrText>
    </w:r>
    <w:r>
      <w:fldChar w:fldCharType="separate"/>
    </w:r>
    <w: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sz w:val="18"/>
      </w:rPr>
      <w:t>SAMPLE / PREVIEW / NOT FOR OPERATIONAL USE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b w:val="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rPr>
      <w:rFonts w:ascii="Aptos" w:hAnsi="Aptos" w:eastAsia="Aptos"/>
      <w:sz w:val="20"/>
    </w:r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Aptos" w:hAnsi="Aptos" w:eastAsia="Aptos"/>
      <w:sz w:val="18"/>
    </w:r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eastAsia="Aptos"/>
      <w:b/>
      <w:bCs/>
      <w:color w:val="1F4E79"/>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1F4E7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4546A"/>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eastAsia="Aptos"/>
      <w:b/>
      <w:color w:val="17365D" w:themeColor="text2" w:themeShade="BF"/>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eastAsia="Aptos"/>
      <w:b w:val="0"/>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Privacy Risk Assessment Methodology</dc:title>
  <dc:subject>ISO/IEC 27701 Privacy Information Management System (PIMS)</dc:subject>
  <dc:creator>ISOReady</dc:creator>
  <cp:keywords/>
  <dc:description>ISO/IEC 27701 Privacy Information Management System (PIMS) generated by ISOReady integrated builder</dc:description>
  <cp:lastModifiedBy/>
  <cp:revision>1</cp:revision>
  <dcterms:created xsi:type="dcterms:W3CDTF">2013-12-23T23:15:00Z</dcterms:created>
  <dcterms:modified xsi:type="dcterms:W3CDTF">2013-12-23T23:15:00Z</dcterms:modified>
  <cp:category>Guidance</cp:category>
</cp:coreProperties>
</file>