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Data Subject Rights Procedure</w:t>
      </w:r>
    </w:p>
    <w:p>
      <w:pPr>
        <w:pStyle w:val="Subtitle"/>
        <w:keepNext/>
        <w:spacing w:after="200" w:before="0"/>
        <w:jc w:val="left"/>
      </w:pPr>
      <w:r>
        <w:t>Procedure | ISO/IEC 27701 Privacy Information Management System (PIMS)</w:t>
      </w:r>
    </w:p>
    <w:p>
      <w:pPr>
        <w:pStyle w:val="Heading1"/>
      </w:pPr>
      <w:r>
        <w:t>Sample Preview Notice</w:t>
      </w:r>
    </w:p>
    <w:p>
      <w:r>
        <w:t>This is a sample / preview version of the ISO/IEC 27701 Privacy Information Management System (PIMS) procedure 'Data Subject Rights Procedure'.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Data Subject Rights 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ISO/IEC 27701 Privacy Information Management System (PIMS)</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Privacy Lead</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Confidential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2.0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2.0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Data Subject Rights Procedure gives staff a controlled, repeatable way to complete the activity and retain suitable evidence for review. Purpose Set out the mandatory operational steps for handling and responding to data subject rights requests received by the organisation in line with ISO/IEC 27701 requirements, maintaining robust evidence and consistent execution across all controller and processor scenarios. Why This Matters This procedure matters because it should support privacy governance, controlled PII handling, and stronger accountability for rights, retention, and third-party processing. It is most useful when it gives teams a workable operating baseline, not just approved wording. It should align to the mapped control area '6.7.2', 9 related evidence references, 8 related risk items. What Good Looks Like A credible implementation state is demonstrated by approved documentation, consistent operational use, and evidence records showing the control is functioning in practice.</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Applies to all personal data processing activities undertaken by the organisation as controller (for HR, employees, prospects) and as processor (for customers), including relevant records held in AWS-hosted SaaS systems, local file shares, support platforms, supplier management, and HR databases. Covers all data subject rights requests originating from individuals in any relevant jurisdiction (UK, EU, US where applicable). Operational privacy requirements • Receipt of a data subject rights request (DSAR) via privacy@yourcompany.co.uk, security@yourcompany.co.uk, or indirect escalation from business channels (e.g., Customer Support, HR). • Permissible rights requests include: access, rectification, erasure, restriction, objection, portability, or automated decision challenge. • Trigger recorded by Privacy Lead upon request receipt in the DSAR case log.</w:t>
      </w:r>
    </w:p>
    <w:p>
      <w:pPr>
        <w:pStyle w:val="Heading1"/>
        <w:keepNext/>
        <w:spacing w:before="320" w:after="160"/>
      </w:pPr>
      <w:r>
        <w:rPr>
          <w:rFonts w:ascii="Aptos" w:hAnsi="Aptos" w:eastAsia="Aptos"/>
          <w:b/>
          <w:color w:val="1F4E79"/>
          <w:sz w:val="32"/>
        </w:rPr>
        <w:t>3. Trigger / Inputs</w:t>
      </w:r>
    </w:p>
    <w:p>
      <w:pPr>
        <w:spacing w:before="0" w:after="120" w:line="276" w:lineRule="auto"/>
      </w:pPr>
      <w:r>
        <w:rPr>
          <w:rFonts w:ascii="Aptos" w:hAnsi="Aptos" w:eastAsia="Aptos"/>
          <w:sz w:val="22"/>
        </w:rPr>
        <w:t>Use this section to describe the event, request, or condition that starts the workflow. • Receipt of a data subject rights request (DSAR) via privacy@yourcompany.co.uk, security@yourcompany.co.uk, or indirect escalation from business channels (e.g., Customer Support, HR). • Permissible rights requests include: access, rectification, erasure, restriction, objection, portability, or automated decision challenge. • Trigger recorded by Privacy Lead upon request receipt in the DSAR case log.</w:t>
      </w:r>
    </w:p>
    <w:p>
      <w:pPr>
        <w:pStyle w:val="Heading1"/>
        <w:keepNext/>
        <w:spacing w:before="320" w:after="160"/>
      </w:pPr>
      <w:r>
        <w:rPr>
          <w:rFonts w:ascii="Aptos" w:hAnsi="Aptos" w:eastAsia="Aptos"/>
          <w:b/>
          <w:color w:val="1F4E79"/>
          <w:sz w:val="32"/>
        </w:rPr>
        <w:t>4. Procedure Steps</w:t>
      </w:r>
    </w:p>
    <w:p>
      <w:pPr>
        <w:spacing w:before="0" w:after="120" w:line="276" w:lineRule="auto"/>
      </w:pPr>
      <w:r>
        <w:rPr>
          <w:rFonts w:ascii="Aptos" w:hAnsi="Aptos" w:eastAsia="Aptos"/>
          <w:sz w:val="22"/>
        </w:rPr>
        <w:t>1. Intake &amp; Logging - Privacy Lead or delegate monitors privacy@yourcompany.co.uk and security@yourcompany.co.uk inboxes daily. - Upon detection of a DSAR, assign a unique case ID and record in the central DSAR case log (maintained on the Internal Policy Portal). Log requester identity, date/time, channel, nature of request, and data subject relationship (employee, customer user, prospect, supplier contact). 2. Triage &amp; Initial Response - within an organisation-defined timeframe (example default: 2 working days, adjust as required), issue receipt to requester confirming logged request and outlining response timeline (default: 30 calendar days). Use a standard template versioned on the policy portal. - Triage request type, clarify ambiguities, and confirm lawful identity (see Identification Check process below). 3. Identity Verification - For employee or HR requests, confirm identity via current HR records and direct phone/video callback. - For customer user or prospect, confirm via account record, registered email, and, if necessary, two-factor challenge. Document outcome in the DSAR log. - If identity cannot be verified after two attempts, record all communications and close request with explanation, copying security@yourcompany.co.uk. 4. Scoping &amp; Data Mapping - Identify all systems containing relevant PII by querying the PII Asset Register and Records of Processing Activities (ROPA). - For processor requests, confirm customer controller status and escalate to contract point of contact. Await written instructions from controller before action. Log all correspondence and timing in the DSAR record. 5. Data Retrieval &amp; Review - Extract data from relevant sources (AWS production environment, HR/payroll, CRM, support platform, local files), minimising impact on business operations. Redact third-party PII, privileged/confidential information, and irrelevancies. Document retrieval and review decisions in the DSAR file. - For data erasure, verify dependencies (active contracts, regulatory holds) before progressing; use standard checklists from Internal Policy Portal. 6. Approval - Where a response involves potentially contentious release, redaction, or partial denial, escalate to privacy and information governance Officer for risk assessment. - Security Officer must record approval or required modifications in the DSAR case file before issuance. Any legal opinions or escalations must be captured in the log and attributed. 7. DSAR Response Fulfilment - Send formal response, with detailed explanation and evidence of actions taken, via the initial communication channel, copying privacy@yourcompany.co.uk. - Attach all audit evidence (exported data, redaction manifest, communications) to the DSAR register. Remind requester of appeals/escalation process (internal review, ICO referral). 8. Closure &amp; Evidence Retention - Mark the DSAR as closed in the register with date, outcome, and approver. Attach all supporting documents, communications, and approvals to the case log. - Store DSAR records for an organisation-defined period (example default: 2 years, adjust as required) from closure, as mandated, with controlled access (delegated privacy contact, Managing Director). Timelines: within the organisation-defined maximum response period (example default: 30 days, adjust as required) for response (extendable by further 30 days only in complex/multi-system cases, with formal written notification to requester). Escalate any expected timeline breach, complaint, or suspected breach of privacy obligations to the designated approver and copy security@yourcompany.co.uk immediately. 6. Confirm the owner, retained evidence, and any follow-up action before closure.</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Data Subject Rights Procedure document expands this area with customer-ready detail.</w:t>
      </w:r>
    </w:p>
    <w:p>
      <w:pPr>
        <w:pStyle w:val="Heading1"/>
        <w:keepNext/>
        <w:spacing w:before="320" w:after="160"/>
      </w:pPr>
      <w:r>
        <w:rPr>
          <w:rFonts w:ascii="Aptos" w:hAnsi="Aptos" w:eastAsia="Aptos"/>
          <w:b/>
          <w:color w:val="1F4E79"/>
          <w:sz w:val="32"/>
        </w:rPr>
        <w:t>6. Records / Outputs</w:t>
      </w:r>
    </w:p>
    <w:p>
      <w:pPr>
        <w:spacing w:before="0" w:after="120" w:line="276" w:lineRule="auto"/>
      </w:pPr>
      <w:r>
        <w:rPr>
          <w:rFonts w:ascii="Aptos" w:hAnsi="Aptos" w:eastAsia="Aptos"/>
          <w:sz w:val="22"/>
        </w:rPr>
        <w:t>Use this section to describe retained evidence, outputs, and traceability expectations. The purchased version provides the complete workflow, roles, decision points, and supporting operational detail for this process.</w:t>
      </w:r>
    </w:p>
    <w:p>
      <w:pPr>
        <w:pStyle w:val="Heading1"/>
        <w:keepNext/>
        <w:spacing w:before="320" w:after="160"/>
      </w:pPr>
      <w:r>
        <w:rPr>
          <w:rFonts w:ascii="Aptos" w:hAnsi="Aptos" w:eastAsia="Aptos"/>
          <w:b/>
          <w:color w:val="1F4E79"/>
          <w:sz w:val="32"/>
        </w:rPr>
        <w:t>7. Exceptions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Data Subject Rights Procedure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Data Subject Rights Procedure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show how the workflow supports controls and how that support is evidenced. The purchased version provides the complete workflow, roles, decision points, and supporting operational detail for this process.</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Data Subject Rights Procedure | Version 2.0 | Confidential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Subject Rights Procedure</dc:title>
  <dc:subject>ISO/IEC 27701 Privacy Information Management System (PIMS)</dc:subject>
  <dc:creator>ISOReady</dc:creator>
  <cp:keywords/>
  <dc:description>ISO/IEC 27701 Privacy Information Management System (PIMS) generated by ISOReady integrated builder</dc:description>
  <cp:lastModifiedBy/>
  <cp:revision>1</cp:revision>
  <dcterms:created xsi:type="dcterms:W3CDTF">2013-12-23T23:15:00Z</dcterms:created>
  <dcterms:modified xsi:type="dcterms:W3CDTF">2013-12-23T23:15:00Z</dcterms:modified>
  <cp:category>Procedure</cp:category>
</cp:coreProperties>
</file>