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Privacy Information Management Policy</w:t>
      </w:r>
    </w:p>
    <w:p>
      <w:pPr>
        <w:pStyle w:val="Subtitle"/>
        <w:keepNext/>
        <w:spacing w:after="200" w:before="0"/>
        <w:jc w:val="left"/>
      </w:pPr>
      <w:r>
        <w:t>Policy | ISO/IEC 27701 Privacy Information Management System (PIMS)</w:t>
      </w:r>
    </w:p>
    <w:p>
      <w:pPr>
        <w:pStyle w:val="Heading1"/>
      </w:pPr>
      <w:r>
        <w:t>Sample Preview Notice</w:t>
      </w:r>
    </w:p>
    <w:p>
      <w:r>
        <w:t>This is a sample / preview version of the ISO/IEC 27701 Privacy Information Management System (PIMS) policy 'Privacy Information Management Policy'.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Privacy Information Management 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ISO/IEC 27701 Privacy Information Management System (PIMS)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Privacy Lead</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Confidential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2.0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2.0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Privacy Information Management Policy provides a management-level baseline for ISO/IEC 27701 Privacy Information Management System (PIMS) and explains why consistent control adoption, ownership, and evidence matter. Purpose This policy establishes the mandatory principles and operational requirements for managing personal data in compliance with ISO/IEC 27701 across the organisation's B2B SaaS operations. The objective is to define the privacy governance, role assignments, and control expectations for processing of employee, prospect, customer, support, and supplier personal data. The policy is written to support both controller and processor activities within the company’s operating jurisdictions (UK, EU, US), provide a defensible audit posture, and enable traceable records for regulatory, customer, and internal risk assurance purposes. Why This Matters This policy matters because it should support privacy governance, controlled PII handling, and stronger accountability for rights, retention, and third-party processing. It is most useful when it gives teams a workable operating baseline, not just approved wording. It should align to the mapped control area '5.2.1', 9 related evidence references, 1 related risk item.</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policy applies to all the organisation personnel, contractors, and third parties with access to personal data handled through internal systems (incl. HR and prospect records) and the SaaS platform (customer data, support records, supplier contacts). It covers all processing activities carried out in the capacity of controller and processor, including cross-border transfers, use of AWS-hosted services, sub-processor engagements, and any new change with privacy implications.</w:t>
      </w:r>
    </w:p>
    <w:p>
      <w:pPr>
        <w:pStyle w:val="Heading1"/>
        <w:keepNext/>
        <w:spacing w:before="320" w:after="160"/>
      </w:pPr>
      <w:r>
        <w:rPr>
          <w:rFonts w:ascii="Aptos" w:hAnsi="Aptos" w:eastAsia="Aptos"/>
          <w:b/>
          <w:color w:val="1F4E79"/>
          <w:sz w:val="32"/>
        </w:rPr>
        <w:t>3. Objectives</w:t>
      </w:r>
    </w:p>
    <w:p>
      <w:pPr>
        <w:spacing w:before="0" w:after="120" w:line="276" w:lineRule="auto"/>
      </w:pPr>
      <w:r>
        <w:rPr>
          <w:rFonts w:ascii="Aptos" w:hAnsi="Aptos" w:eastAsia="Aptos"/>
          <w:sz w:val="22"/>
        </w:rPr>
        <w:t>- Define and apply a systematic privacy governance structure for controller and processor obligations. - Establish a privacy risk management and incident escalation model suitable for SaaS operations. - Set out specific, evidence-backed requirements for data subject rights, record-keeping, privacy notices, third-party oversight, and lawful processing. - Align practical control requirements to ISO/IEC 27701, GDPR, and relevant UK/EU obligations without wholesale dependency. - Enable timely detection, review, and correction of privacy control weaknesses via documented meetings, logs, and audits. What Good Looks Like A usable implementation position is shown by approved content, repeatable operational behaviour, and records that confirm the requirement is being followed. HR and prospect records) and the SaaS platform (customer data, support records, supplier contacts). It covers all processing activities carried out in the capacity of controller and processor, including cross-border transfers, use of AWS-hosted services, sub-processor engagements, and any new change with privacy implications.</w:t>
      </w:r>
    </w:p>
    <w:p>
      <w:pPr>
        <w:pStyle w:val="Heading1"/>
        <w:keepNext/>
        <w:spacing w:before="320" w:after="160"/>
      </w:pPr>
      <w:r>
        <w:rPr>
          <w:rFonts w:ascii="Aptos" w:hAnsi="Aptos" w:eastAsia="Aptos"/>
          <w:b/>
          <w:color w:val="1F4E79"/>
          <w:sz w:val="32"/>
        </w:rPr>
        <w:t>4. Policy Statements</w:t>
      </w:r>
    </w:p>
    <w:p>
      <w:pPr>
        <w:spacing w:before="0" w:after="120" w:line="276" w:lineRule="auto"/>
      </w:pPr>
      <w:r>
        <w:rPr>
          <w:rFonts w:ascii="Aptos" w:hAnsi="Aptos" w:eastAsia="Aptos"/>
          <w:sz w:val="22"/>
        </w:rPr>
        <w:t>1. The privacy and information governance Officer is responsible for maintaining this policy and evidencing compliance by maintaining logs and registers specified in the PIMS documentation pack. 2. Privacy governance activities, including quarterly steering meetings and action logs, must be formally minuted and retained in the Governance Pack for an organisation-defined period; attendance and delegated actions are tracked to closure. 3. The Privacy Lead / DPO must review, update, and obtain approval for the Record of Processing Activities (ROPA) monthly, with export and sign-off evidence held in the Privacy Register. 4. All personal data flow diagrams and mappings must be updated quarterly, approved by the privacy owner / DPO, and filed in the Architecture Repository; any gaps or changes trigger immediate risk review and workflow documentation. 5. All data subject access requests (DSARs) must be formally logged using the case management mailbox, assigned a reference ID, and accompanied by response evidence, with retention for an organisation-defined period per request. Escalations for complex or cross-border requests must be notified within an organisation-defined timeframe to the privacy owner at security@yourcompany.co.uk. 6. Supplier and sub-processor engagements handling personal data must complete privacy due diligence and secure DPA approval prior to processing. All due diligence records are retained within the procurement workflow for at least two years post-contract. 7. Quarterly retention and disposal reviews, including evidence of data destruction and documented authorisation, must be performed by the privacy owner for all live and archived PII datasets; all actions are logged in the records management workflow. 8. Data Protection Impact Assessments (DPIAs) are mandatory for new or materially changed processing activities with high privacy risk. DPIAs must be approved by the privacy owner and logged in the risk management repository with a minimum retain in line with business, legal, and regulatory requirements. 9. All personal data incidents (suspected or confirmed) must be reported to security@yourcompany.co.uk with incident timelines, containment actions, and decision logs collated in the incident management platform. Escalations to regulators or affected customers must be managed per documented incident response protocols. 10. This policy is subject to annual review by the security owner and formal re-approval by the Managing Director. Major change triggers include regulatory updates, scope expansion, or material changes to technology or processing patterns.</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Privacy Information Management Policy document expands this area with customer-ready detail.</w:t>
      </w:r>
    </w:p>
    <w:p>
      <w:pPr>
        <w:pStyle w:val="Heading1"/>
        <w:keepNext/>
        <w:spacing w:before="320" w:after="160"/>
      </w:pPr>
      <w:r>
        <w:rPr>
          <w:rFonts w:ascii="Aptos" w:hAnsi="Aptos" w:eastAsia="Aptos"/>
          <w:b/>
          <w:color w:val="1F4E79"/>
          <w:sz w:val="32"/>
        </w:rPr>
        <w:t>6. Implementation Guidance</w:t>
      </w:r>
    </w:p>
    <w:p>
      <w:pPr>
        <w:spacing w:before="0" w:after="120" w:line="276" w:lineRule="auto"/>
      </w:pPr>
      <w:r>
        <w:rPr>
          <w:rFonts w:ascii="Aptos" w:hAnsi="Aptos" w:eastAsia="Aptos"/>
          <w:sz w:val="22"/>
        </w:rPr>
        <w:t>Use this section to explain how teams should apply the document in practice.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7. How to Use This Document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Privacy Information Management Policy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Privacy Information Management Policy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link the document to controls, evidence, and traceability expectations.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10. Review and Maintenance</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Privacy Information Management Policy document expands this area with customer-ready detail.</w:t>
      </w:r>
    </w:p>
    <w:p>
      <w:pPr>
        <w:pStyle w:val="Heading1"/>
        <w:keepNext/>
        <w:spacing w:before="320" w:after="160"/>
      </w:pPr>
      <w:r>
        <w:rPr>
          <w:rFonts w:ascii="Aptos" w:hAnsi="Aptos" w:eastAsia="Aptos"/>
          <w:b/>
          <w:color w:val="1F4E79"/>
          <w:sz w:val="32"/>
        </w:rPr>
        <w:t>11. Enforcement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Privacy Information Management Policy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Privacy Information Management Policy | Version 2.0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Information Management Policy</dc:title>
  <dc:subject>ISO/IEC 27701 Privacy Information Management System (PIMS)</dc:subject>
  <dc:creator>ISOReady</dc:creator>
  <cp:keywords/>
  <dc:description>ISO/IEC 27701 Privacy Information Management System (PIMS) generated by ISOReady integrated builder</dc:description>
  <cp:lastModifiedBy/>
  <cp:revision>1</cp:revision>
  <dcterms:created xsi:type="dcterms:W3CDTF">2013-12-23T23:15:00Z</dcterms:created>
  <dcterms:modified xsi:type="dcterms:W3CDTF">2013-12-23T23:15:00Z</dcterms:modified>
  <cp:category>Policy</cp:category>
</cp:coreProperties>
</file>