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Incident Response Procedure</w:t>
      </w:r>
    </w:p>
    <w:p>
      <w:pPr>
        <w:pStyle w:val="Subtitle"/>
        <w:keepNext/>
        <w:spacing w:after="200" w:before="0"/>
        <w:jc w:val="left"/>
      </w:pPr>
      <w:r>
        <w:t>Procedure | ISO 27001</w:t>
      </w:r>
    </w:p>
    <w:p>
      <w:pPr>
        <w:pStyle w:val="Heading1"/>
      </w:pPr>
      <w:r>
        <w:t>Sample Preview Notice</w:t>
      </w:r>
    </w:p>
    <w:p>
      <w:r>
        <w:t>This is a sample / preview version of the ISO 27001 procedure 'Incident Response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Incident Response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 27001</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Information Security Officer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Incident Response Procedure gives staff a controlled, repeatable way to complete the activity and retain suitable evidence for review. Purpose Define a structured, audit-ready incident response process for the organisation to rapidly identify, report, assess, contain, eradicate and recover from information security incidents, meeting ISO/IEC 27001:2022 requirements and supporting a demonstrable ISMS. ISMS relevance This procedure matters because it should support a defensible management system, clearer control ownership, and smoother internal or external audit preparation. It is most useful when it gives teams a workable operating baseline, not just approved wording. What Good Looks Like A strong outcome is visible through controlled use of the document, accountable ownership, and evidence that reviewers can trace without extra explanation.</w:t>
      </w:r>
    </w:p>
    <w:p>
      <w:pPr>
        <w:pStyle w:val="Heading3"/>
        <w:keepNext/>
        <w:spacing w:before="160" w:after="100"/>
      </w:pPr>
      <w:r>
        <w:rPr>
          <w:rFonts w:ascii="Aptos" w:hAnsi="Aptos" w:eastAsia="Aptos"/>
          <w:b/>
          <w:color w:val="44546A"/>
          <w:sz w:val="26"/>
        </w:rPr>
        <w:t>How to Use This Document</w:t>
      </w:r>
    </w:p>
    <w:p>
      <w:pPr>
        <w:spacing w:before="0" w:after="120" w:line="276" w:lineRule="auto"/>
      </w:pPr>
      <w:r>
        <w:rPr>
          <w:rFonts w:ascii="Aptos" w:hAnsi="Aptos" w:eastAsia="Aptos"/>
          <w:sz w:val="22"/>
        </w:rPr>
        <w:t>Use this procedure as the working reference for day-to-day delivery of the process. Teams should follow it in the live workflow, retain the expected evidence, and update it when the operating model changes.</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Applies to all information assets, cloud platforms, users, and third-party partners of the organisation. Covers all incident types impacting confidentiality, integrity, or availability of SaaS systems and customer or company data across all operational sites (UK jurisdiction, remote employees, and SaaS cloud infrastructure). Operational control requirements Triggers: Any suspected or confirmed information security threat, breach, or non-compliance is detected by staff, systems, or external parties. Inputs: Incident details (date, time, source, asset impacted, description), evidence (system logs, emails, screenshots), Reporter identity, notifications issued to security@yourcompany.co.uk. Keep the wording grounded in ISMS governance, risk treatment, control ownership, and continual improvement.</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Triggers: Any suspected or confirmed information security threat, breach, or non-compliance is detected by staff, systems, or external parties.</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Incident Identification: - All staff must immediately notify security@yourcompany.co.uk if they detect or suspect a security incident. - Automated detection systems (SIEM, endpoint alerts) route notifications to the Information Security Officer (ISO). 2. Incident Logging: - security owner logs incident details in the Incident Register on the Internal Policy Portal within an organisation-defined timeframe (example default: one hour, adjust as required) of notification. - Attach initial evidence (emails, system logs, screenshots) to the incident entry. 3. Initial Assessment: - ISO classifies the incident (Critical, Major, Minor) based on impact criteria documented in the Risk Assessment Register. - ISO performs initial triage within an organisation-defined timeframe (example default: one business hour, adjust as required); escalates Critical/Major incidents to Managing Director. - Records assessment notes and initial risk rating in the Portal. 4. Containment: - ISO assigns technical staff to contain the incident by isolating affected systems/accounts within an organisation-defined timeframe (example default: one hour, adjust as required) for Critical incidents. - Document all containment actions in the Incident Register. 5. Notification: - For confirmed incidents with potential data loss or regulatory impact, ISO notifies responsible manager and affected parties within an organisation-defined timeframe (example default: four hours, adjust as required). - If required by law, ISO drafts a notification for the Information Commissioner's Office (ICO), for review and sign-off by the responsible executive, within an organisation-defined timeframe (example default: 24 hours, adjust as required) of confirmation. 6. Eradication and Recovery: - IT staff remove malicious artefacts, reset credentials, restore from backups, or apply remediations as required. - Track actions and recovery status in the Incident Register. 7. Root Cause Analysis: - Conducted within an organisation-defined timeframe (example default: two business days, adjust as required) of containment completion, led by ISO and relevant technical staff. - Document cause, contributing factors, and corrective actions in the Portal. 8. Post-Incident Review and Closure: - ISO schedules a review meeting with impacted staff, technical responders, and the designated approver within an organisation-defined timeframe (example default: five business days, adjust as required). - Validate full restoration, evaluate response effectiveness, and capture lessons learned. - Record post-incident report in the Portal and flag improvements for the ISMS Continuous Improvement log. - responsible manager reviews and formally closes the incident in the Portal. 9. Evidence Retention: - Secure all evidence, emails, logs, and reports related to each incident in a restricted section of the Policy Portal for an organisation-defined period (example default: 3 years, adjust as required), accessible only to ISO and responsible executive. 6. Confirm the owner, retained evidence, and any follow-up action before closure.</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Incident Response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Incident Response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Incident Response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Incident Response Procedure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Response Procedure</dc:title>
  <dc:subject>ISO 27001</dc:subject>
  <dc:creator>ISOReady</dc:creator>
  <cp:keywords/>
  <dc:description>ISO 27001 generated by ISOReady integrated builder</dc:description>
  <cp:lastModifiedBy/>
  <cp:revision>1</cp:revision>
  <dcterms:created xsi:type="dcterms:W3CDTF">2013-12-23T23:15:00Z</dcterms:created>
  <dcterms:modified xsi:type="dcterms:W3CDTF">2013-12-23T23:15:00Z</dcterms:modified>
  <cp:category>Procedure</cp:category>
</cp:coreProperties>
</file>