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keepNext/>
        <w:spacing w:before="360" w:after="240"/>
        <w:jc w:val="left"/>
      </w:pPr>
      <w:r>
        <w:rPr>
          <w:rFonts w:ascii="Aptos" w:hAnsi="Aptos" w:eastAsia="Aptos"/>
          <w:b/>
          <w:color w:val="1F4E79"/>
          <w:sz w:val="48"/>
        </w:rPr>
        <w:t>DSAR Procedure</w:t>
      </w:r>
    </w:p>
    <w:p>
      <w:pPr>
        <w:pStyle w:val="Subtitle"/>
        <w:keepNext/>
        <w:spacing w:after="200" w:before="0"/>
        <w:jc w:val="left"/>
      </w:pPr>
      <w:r>
        <w:t>Procedure | GDPR</w:t>
      </w:r>
    </w:p>
    <w:p>
      <w:pPr>
        <w:pStyle w:val="Heading1"/>
      </w:pPr>
      <w:r>
        <w:t>Sample Preview Notice</w:t>
      </w:r>
    </w:p>
    <w:p>
      <w:r>
        <w:t>This is a sample / preview version of the GDPR procedure 'DSAR Procedure'. It may be abbreviated or partially redacted for evaluation purposes. The full purchased pack contains the complete editable set and the full implementation-ready content.</w:t>
      </w:r>
    </w:p>
    <w:p>
      <w:pPr>
        <w:spacing w:after="120" w:line="276" w:lineRule="auto" w:before="0"/>
      </w:pPr>
      <w:r>
        <w:rPr>
          <w:rFonts w:ascii="Aptos" w:hAnsi="Aptos" w:eastAsia="Aptos"/>
          <w:sz w:val="22"/>
        </w:rPr>
        <w:t>Customise this document to match your operating model, retain evidence of approval, and review it in line with your governance cycle.</w:t>
      </w:r>
    </w:p>
    <w:tbl>
      <w:tblPr>
        <w:tblStyle w:val="TableGrid"/>
        <w:tblW w:type="auto" w:w="0"/>
        <w:jc w:val="center"/>
        <w:tblLayout w:type="autofit"/>
        <w:tblLook w:firstColumn="1" w:firstRow="1" w:lastColumn="0" w:lastRow="0" w:noHBand="0" w:noVBand="1" w:val="04A0"/>
      </w:tblPr>
      <w:tblGrid>
        <w:gridCol w:w="9792"/>
      </w:tblGrid>
      <w:tr>
        <w:tc>
          <w:tcPr>
            <w:tcW w:type="dxa" w:w="9792"/>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How to use this document: tailor the placeholders to your operating model, keep ownership current, and align linked procedures, registers, and evidence records.</w:t>
            </w:r>
          </w:p>
        </w:tc>
      </w:tr>
    </w:tbl>
    <w:p>
      <w:pPr>
        <w:spacing w:before="0" w:after="120" w:line="276" w:lineRule="auto"/>
      </w:pPr>
    </w:p>
    <w:p>
      <w:pPr>
        <w:pStyle w:val="Heading1"/>
        <w:keepNext/>
        <w:spacing w:before="320" w:after="160"/>
      </w:pPr>
      <w:r>
        <w:rPr>
          <w:rFonts w:ascii="Aptos" w:hAnsi="Aptos" w:eastAsia="Aptos"/>
          <w:b/>
          <w:color w:val="1F4E79"/>
          <w:sz w:val="32"/>
        </w:rPr>
        <w:t>Document Control</w:t>
      </w:r>
    </w:p>
    <w:tbl>
      <w:tblPr>
        <w:tblStyle w:val="TableGrid"/>
        <w:tblW w:type="auto" w:w="0"/>
        <w:jc w:val="center"/>
        <w:tblLayout w:type="autofit"/>
        <w:tblLook w:firstColumn="1" w:firstRow="1" w:lastColumn="0" w:lastRow="0" w:noHBand="0" w:noVBand="1" w:val="04A0"/>
      </w:tblPr>
      <w:tblGrid>
        <w:gridCol w:w="4896"/>
        <w:gridCol w:w="4896"/>
      </w:tblGrid>
      <w:tr>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Document Title</w:t>
            </w:r>
          </w:p>
        </w:tc>
        <w:tc>
          <w:tcPr>
            <w:tcW w:type="dxa" w:w="4896"/>
            <w:tcMar>
              <w:top w:w="110" w:type="dxa"/>
              <w:start w:w="140" w:type="dxa"/>
              <w:bottom w:w="110" w:type="dxa"/>
              <w:end w:w="120" w:type="dxa"/>
            </w:tcMar>
            <w:shd w:fill="1F4E79"/>
          </w:tcPr>
          <w:p>
            <w:pPr>
              <w:spacing w:before="0" w:after="60" w:line="259" w:lineRule="auto"/>
              <w:jc w:val="center"/>
            </w:pPr>
            <w:r>
              <w:rPr>
                <w:rFonts w:ascii="Aptos" w:hAnsi="Aptos" w:eastAsia="Aptos"/>
                <w:b/>
                <w:color w:val="FFFFFF"/>
                <w:sz w:val="22"/>
              </w:rPr>
              <w:t>DSAR 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Framework</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GDPR</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Category</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Procedure</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Owner</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Data Protection Lead</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Classification</w:t>
            </w:r>
          </w:p>
        </w:tc>
        <w:tc>
          <w:tcPr>
            <w:tcW w:type="dxa" w:w="4896"/>
            <w:tcMar>
              <w:top w:w="110" w:type="dxa"/>
              <w:start w:w="140" w:type="dxa"/>
              <w:bottom w:w="110" w:type="dxa"/>
              <w:end w:w="120" w:type="dxa"/>
            </w:tcMar>
          </w:tcPr>
          <w:p>
            <w:pPr>
              <w:spacing w:before="0" w:after="40" w:line="259" w:lineRule="auto"/>
              <w:jc w:val="left"/>
            </w:pPr>
            <w:r>
              <w:rPr>
                <w:rFonts w:ascii="Aptos" w:hAnsi="Aptos" w:eastAsia="Aptos"/>
                <w:sz w:val="22"/>
              </w:rPr>
              <w:t>Internal</w:t>
            </w:r>
          </w:p>
        </w:tc>
      </w:tr>
      <w:tr>
        <w:tc>
          <w:tcPr>
            <w:tcW w:type="dxa" w:w="4896"/>
            <w:tcMar>
              <w:top w:w="110" w:type="dxa"/>
              <w:start w:w="140" w:type="dxa"/>
              <w:bottom w:w="110" w:type="dxa"/>
              <w:end w:w="120" w:type="dxa"/>
            </w:tcMar>
            <w:shd w:fill="EAF2F8"/>
          </w:tcPr>
          <w:p>
            <w:pPr>
              <w:spacing w:before="0" w:after="60" w:line="259" w:lineRule="auto"/>
              <w:jc w:val="left"/>
            </w:pPr>
            <w:r>
              <w:rPr>
                <w:rFonts w:ascii="Aptos" w:hAnsi="Aptos" w:eastAsia="Aptos"/>
                <w:b/>
                <w:color w:val="1F4E79"/>
                <w:sz w:val="22"/>
              </w:rPr>
              <w:t>Version</w:t>
            </w:r>
          </w:p>
        </w:tc>
        <w:tc>
          <w:tcPr>
            <w:tcW w:type="dxa" w:w="4896"/>
            <w:tcMar>
              <w:top w:w="110" w:type="dxa"/>
              <w:start w:w="140" w:type="dxa"/>
              <w:bottom w:w="110" w:type="dxa"/>
              <w:end w:w="120" w:type="dxa"/>
            </w:tcMar>
            <w:shd w:fill="F5F9FC"/>
          </w:tcPr>
          <w:p>
            <w:pPr>
              <w:spacing w:before="0" w:after="40" w:line="259" w:lineRule="auto"/>
              <w:jc w:val="left"/>
            </w:pPr>
            <w:r>
              <w:rPr>
                <w:rFonts w:ascii="Aptos" w:hAnsi="Aptos" w:eastAsia="Aptos"/>
                <w:sz w:val="22"/>
              </w:rPr>
              <w:t>1.0</w:t>
            </w:r>
          </w:p>
        </w:tc>
      </w:tr>
    </w:tbl>
    <w:p>
      <w:pPr>
        <w:spacing w:before="0" w:after="120" w:line="276" w:lineRule="auto"/>
      </w:pPr>
    </w:p>
    <w:p>
      <w:pPr>
        <w:pStyle w:val="Heading2"/>
        <w:keepNext/>
        <w:spacing w:before="200" w:after="100"/>
      </w:pPr>
      <w:r>
        <w:rPr>
          <w:rFonts w:ascii="Aptos" w:hAnsi="Aptos" w:eastAsia="Aptos"/>
          <w:b/>
          <w:color w:val="1F4E79"/>
          <w:sz w:val="26"/>
        </w:rPr>
        <w:t>Approval and Review</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Approved By</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Effective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Review 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Status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Managing Director</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Approved</w:t>
            </w:r>
          </w:p>
        </w:tc>
      </w:tr>
    </w:tbl>
    <w:p>
      <w:pPr>
        <w:spacing w:before="0" w:after="120" w:line="276" w:lineRule="auto"/>
      </w:pPr>
    </w:p>
    <w:p>
      <w:pPr>
        <w:pStyle w:val="Heading2"/>
        <w:keepNext/>
        <w:spacing w:before="200" w:after="100"/>
      </w:pPr>
      <w:r>
        <w:rPr>
          <w:rFonts w:ascii="Aptos" w:hAnsi="Aptos" w:eastAsia="Aptos"/>
          <w:b/>
          <w:color w:val="1F4E79"/>
          <w:sz w:val="26"/>
        </w:rPr>
        <w:t>Revision History</w:t>
      </w:r>
    </w:p>
    <w:tbl>
      <w:tblPr>
        <w:tblStyle w:val="TableGrid"/>
        <w:tblW w:type="auto" w:w="0"/>
        <w:jc w:val="center"/>
        <w:tblLayout w:type="autofit"/>
        <w:tblLook w:firstColumn="1" w:firstRow="1" w:lastColumn="0" w:lastRow="0" w:noHBand="0" w:noVBand="1" w:val="04A0"/>
      </w:tblPr>
      <w:tblGrid>
        <w:gridCol w:w="2448"/>
        <w:gridCol w:w="2448"/>
        <w:gridCol w:w="2448"/>
        <w:gridCol w:w="2448"/>
      </w:tblGrid>
      <w:tr>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Version</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Date</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Author</w:t>
            </w:r>
          </w:p>
        </w:tc>
        <w:tc>
          <w:tcPr>
            <w:tcW w:type="dxa" w:w="2448"/>
            <w:tcMar>
              <w:top w:w="90" w:type="dxa"/>
              <w:start w:w="110" w:type="dxa"/>
              <w:bottom w:w="90" w:type="dxa"/>
              <w:end w:w="110" w:type="dxa"/>
            </w:tcMar>
            <w:shd w:fill="1F4E79"/>
          </w:tcPr>
          <w:p>
            <w:pPr>
              <w:spacing w:before="0" w:after="60" w:line="259" w:lineRule="auto"/>
              <w:jc w:val="center"/>
            </w:pPr>
            <w:r>
              <w:rPr>
                <w:rFonts w:ascii="Aptos" w:hAnsi="Aptos" w:eastAsia="Aptos"/>
                <w:b/>
                <w:color w:val="FFFFFF"/>
                <w:sz w:val="22"/>
              </w:rPr>
              <w:t>Changes</w:t>
            </w:r>
          </w:p>
        </w:tc>
      </w:tr>
      <w:tr>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1.0</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[DD/MM/YYYY]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ISOReady</w:t>
            </w:r>
          </w:p>
        </w:tc>
        <w:tc>
          <w:tcPr>
            <w:tcW w:type="dxa" w:w="2448"/>
            <w:tcMar>
              <w:top w:w="90" w:type="dxa"/>
              <w:start w:w="110" w:type="dxa"/>
              <w:bottom w:w="90" w:type="dxa"/>
              <w:end w:w="110" w:type="dxa"/>
            </w:tcMar>
            <w:shd w:fill="F5F9FC"/>
          </w:tcPr>
          <w:p>
            <w:pPr>
              <w:spacing w:before="0" w:after="60" w:line="259" w:lineRule="auto"/>
              <w:jc w:val="left"/>
            </w:pPr>
            <w:r>
              <w:rPr>
                <w:rFonts w:ascii="Aptos" w:hAnsi="Aptos" w:eastAsia="Aptos"/>
                <w:sz w:val="22"/>
              </w:rPr>
              <w:t>Initial release</w:t>
            </w:r>
          </w:p>
        </w:tc>
      </w:tr>
    </w:tbl>
    <w:p>
      <w:pPr>
        <w:spacing w:before="0" w:after="120" w:line="276" w:lineRule="auto"/>
      </w:pPr>
      <w:r>
        <w:rPr>
          <w:rFonts w:ascii="Aptos" w:hAnsi="Aptos" w:eastAsia="Aptos"/>
          <w:sz w:val="22"/>
        </w:rPr>
        <w:br w:type="page"/>
      </w:r>
    </w:p>
    <w:p>
      <w:pPr>
        <w:pStyle w:val="Heading1"/>
        <w:keepNext/>
        <w:pageBreakBefore/>
        <w:spacing w:before="320" w:after="160"/>
      </w:pPr>
      <w:r>
        <w:rPr>
          <w:rFonts w:ascii="Aptos" w:hAnsi="Aptos" w:eastAsia="Aptos"/>
          <w:b/>
          <w:color w:val="1F4E79"/>
          <w:sz w:val="32"/>
        </w:rPr>
        <w:t>1. Purpose</w:t>
      </w:r>
    </w:p>
    <w:p>
      <w:pPr>
        <w:spacing w:before="0" w:after="120" w:line="276" w:lineRule="auto"/>
      </w:pPr>
      <w:r>
        <w:rPr>
          <w:rFonts w:ascii="Aptos" w:hAnsi="Aptos" w:eastAsia="Aptos"/>
          <w:sz w:val="22"/>
        </w:rPr>
        <w:t>Executive Summary DSAR Procedure gives staff a controlled, repeatable way to complete the activity and retain suitable evidence for review. Purpose Document the mandatory operational steps for the organisation to receive, validate, and fulfil Data Subject Access Requests (DSARs) under the General Data Protection Regulation (GDPR), ensuring lawful processing, timely response, fully auditable records, and demonstrable accountability for all personal data handling. Why This Matters This procedure matters because it should support lawful handling of personal data, consistent rights response, and stronger operational accountability. It is most useful when it gives teams a workable operating baseline, not just approved wording. What Good Looks Like A usable implementation position is shown by approved content, repeatable operational behaviour, and records that confirm the requirement is being followed.</w:t>
      </w:r>
    </w:p>
    <w:p>
      <w:pPr>
        <w:pStyle w:val="Heading1"/>
        <w:keepNext/>
        <w:spacing w:before="320" w:after="160"/>
      </w:pPr>
      <w:r>
        <w:rPr>
          <w:rFonts w:ascii="Aptos" w:hAnsi="Aptos" w:eastAsia="Aptos"/>
          <w:b/>
          <w:color w:val="1F4E79"/>
          <w:sz w:val="32"/>
        </w:rPr>
        <w:t>2. Scope</w:t>
      </w:r>
    </w:p>
    <w:p>
      <w:pPr>
        <w:spacing w:before="0" w:after="120" w:line="276" w:lineRule="auto"/>
      </w:pPr>
      <w:r>
        <w:rPr>
          <w:rFonts w:ascii="Aptos" w:hAnsi="Aptos" w:eastAsia="Aptos"/>
          <w:sz w:val="22"/>
        </w:rPr>
        <w:t>This documented procedure applies to all employees, contractors, and authorised third parties at the organisation who are responsible for processing personal data in the context of delivering SaaS solutions to any individual within the UK/EU. The process includes initial receipt, validation, investigation, fulfilment, and audit closure of DSARs made to the organisation for any system, service, or data held by the organisation. Operational privacy requirements A DSAR is triggered when any individual contacts the organisation, via any channel (including but not limited to direct email, support ticket, post, or social media), formally requesting access to personal data held about them under Article 15 of the GDPR. All such requests, regardless of channel, must be immediately directed to security@yourcompany.co.uk and logged in the DSAR Register located within the Internal Policy Portal. Inputs include: the requester’s identity and contact details, details of the requested information, the original communication method, and any supporting identification documentation.</w:t>
      </w:r>
    </w:p>
    <w:p>
      <w:pPr>
        <w:pStyle w:val="Heading1"/>
        <w:keepNext/>
        <w:spacing w:before="320" w:after="160"/>
      </w:pPr>
      <w:r>
        <w:rPr>
          <w:rFonts w:ascii="Aptos" w:hAnsi="Aptos" w:eastAsia="Aptos"/>
          <w:b/>
          <w:color w:val="1F4E79"/>
          <w:sz w:val="32"/>
        </w:rPr>
        <w:t>3. Trigger / Inputs</w:t>
      </w:r>
    </w:p>
    <w:p>
      <w:pPr>
        <w:spacing w:before="0" w:after="120" w:line="276" w:lineRule="auto"/>
      </w:pPr>
      <w:r>
        <w:rPr>
          <w:rFonts w:ascii="Aptos" w:hAnsi="Aptos" w:eastAsia="Aptos"/>
          <w:sz w:val="22"/>
        </w:rPr>
        <w:t>Use this section to describe the event, request, or condition that starts the workflow. A DSAR is triggered when any individual contacts the organisation, via any channel (including but not limited to direct email, support ticket, post, or social media), formally requesting access to personal data held about them under Article 15 of the GDPR.</w:t>
      </w:r>
    </w:p>
    <w:p>
      <w:pPr>
        <w:pStyle w:val="Heading1"/>
        <w:keepNext/>
        <w:spacing w:before="320" w:after="160"/>
      </w:pPr>
      <w:r>
        <w:rPr>
          <w:rFonts w:ascii="Aptos" w:hAnsi="Aptos" w:eastAsia="Aptos"/>
          <w:b/>
          <w:color w:val="1F4E79"/>
          <w:sz w:val="32"/>
        </w:rPr>
        <w:t>4. Procedure Steps</w:t>
      </w:r>
    </w:p>
    <w:p>
      <w:pPr>
        <w:spacing w:before="0" w:after="120" w:line="276" w:lineRule="auto"/>
      </w:pPr>
      <w:r>
        <w:rPr>
          <w:rFonts w:ascii="Aptos" w:hAnsi="Aptos" w:eastAsia="Aptos"/>
          <w:sz w:val="22"/>
        </w:rPr>
        <w:t>1. DSAR Receipt &amp; Logging: a. On receiving a request (from any channel), Following validation, the responsible lead should immediately forward the request in full to security@yourcompany.co.uk. b. The Information Security Officer (ISO) logs the request in the DSAR Register (Internal Policy Portal), recording the date/time received, the channel, data subject details, and the responsible handler. 2. Identity Verification: a. The ISO reviews the information provided and, if identity is not clearly established, requests additional identification documents from the requester within an organisation-defined timeframe (example default: 2 working days, adjust as required) of receipt. b. No data is released until satisfactory identification (e.g., government-issued ID, proof of address) is provided. c. The verification result and evidence are appended to the DSAR record in the Register. 3. Scope Determination &amp; Acknowledgement: a. The ISO clarifies the scope of the request where ambiguous, seeking written clarification from the data subject within an organisation-defined timeframe (example default: 5 working days, adjust as required) if necessary. All related correspondence is attached to the DSAR Register entry. b. An acknowledgement email, detailing expected timelines and next steps (including unresolved ID issues), is sent to the requester within an organisation-defined timeframe (example default: 5 working days, adjust as required) of initial receipt, using a template stored on the Internal Policy Portal. All outgoing correspondence is copied to the Register. 4. Data Identification &amp; Extraction: a. The ISO coordinates with relevant system owners and department leads to locate all personal data relevant to the DSAR, referencing the Record of Processing Activities (ROPA) and asset inventory. b. All identified records are extracted and collated securely, using company-approved secure storage locations. Extraction activity is logged in the DSAR Register, including data source, date of extraction, and names of accessing personnel. 5. Data Review &amp; Redaction: a. The ISO and Legal Advisor jointly review extracted data for inclusion, excluding third-party information and commercially sensitive content as necessary. Any redactions/pseudonymisation applied are fully documented in the Register. 6. Fulfilment &amp; Disclosure: a. The reviewed data is provided to the data subject in a commonly used electronic format (e.g., encrypted PDF), delivered to the verified requester’s contact address via secure methods within an organisation-defined timeframe (example default: 28 calendar days, adjust as required). b. The ISO documents the fulfilment date and method of delivery in the DSAR Register. Delivery receipts (e.g., email sent log) are retained as evidence. 7. Closure &amp; Audit: a. The ISO completes the DSAR entry in the Register, ensuring all correspondence, verification, extraction, review, redaction, and delivery stages are evidenced and orderly. b. The Managing Director reviews completion of high-risk or escalated DSARs and formally approves closure in the Register. 8. Escalation: a. Any suspicion of fraudulent requests, requests involving cross-border transfers, or denial of access (e.g., due to legal exemption) triggers an escalation email to security@yourcompany.co.uk. The ISO consults the Legal Advisor and collects formal approval from the designated approver for the proposed response. All escalations are recorded and referenced in the Register. 9. Monitoring &amp; Reporting: a. The ISO reviews all DSAR activity quarterly and following each DSAR closure for compliance and gap analysis, reporting findings and recommended actions to the responsible executive. The DSAR Register and evidentiary logs are retained for an organisation-defined period (example default: six years, adjust as required) for audit purposes.</w:t>
      </w:r>
    </w:p>
    <w:p>
      <w:pPr>
        <w:pStyle w:val="Heading1"/>
        <w:keepNext/>
        <w:spacing w:before="320" w:after="160"/>
      </w:pPr>
      <w:r>
        <w:rPr>
          <w:rFonts w:ascii="Aptos" w:hAnsi="Aptos" w:eastAsia="Aptos"/>
          <w:b/>
          <w:color w:val="1F4E79"/>
          <w:sz w:val="32"/>
        </w:rPr>
        <w:t>5. Roles and Responsibilities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DSAR Procedure document expands this area with customer-ready detail.</w:t>
      </w:r>
    </w:p>
    <w:p>
      <w:pPr>
        <w:pStyle w:val="Heading1"/>
        <w:keepNext/>
        <w:spacing w:before="320" w:after="160"/>
      </w:pPr>
      <w:r>
        <w:rPr>
          <w:rFonts w:ascii="Aptos" w:hAnsi="Aptos" w:eastAsia="Aptos"/>
          <w:b/>
          <w:color w:val="1F4E79"/>
          <w:sz w:val="32"/>
        </w:rPr>
        <w:t>6. Records / Outputs</w:t>
      </w:r>
    </w:p>
    <w:p>
      <w:pPr>
        <w:spacing w:before="0" w:after="120" w:line="276" w:lineRule="auto"/>
      </w:pPr>
      <w:r>
        <w:rPr>
          <w:rFonts w:ascii="Aptos" w:hAnsi="Aptos" w:eastAsia="Aptos"/>
          <w:sz w:val="22"/>
        </w:rPr>
        <w:t>Use this section to describe retained evidence, outputs, and traceability expectations. The purchased version provides the complete workflow, roles, decision points, and supporting operational detail for this process.</w:t>
      </w:r>
    </w:p>
    <w:p>
      <w:pPr>
        <w:pStyle w:val="Heading1"/>
        <w:keepNext/>
        <w:spacing w:before="320" w:after="160"/>
      </w:pPr>
      <w:r>
        <w:rPr>
          <w:rFonts w:ascii="Aptos" w:hAnsi="Aptos" w:eastAsia="Aptos"/>
          <w:b/>
          <w:color w:val="1F4E79"/>
          <w:sz w:val="32"/>
        </w:rPr>
        <w:t>7. Exceptions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DSAR Procedure document expands this area with customer-ready detail.</w:t>
      </w:r>
    </w:p>
    <w:p>
      <w:pPr>
        <w:pStyle w:val="Heading1"/>
        <w:keepNext/>
        <w:spacing w:before="320" w:after="160"/>
      </w:pPr>
      <w:r>
        <w:rPr>
          <w:rFonts w:ascii="Aptos" w:hAnsi="Aptos" w:eastAsia="Aptos"/>
          <w:b/>
          <w:color w:val="1F4E79"/>
          <w:sz w:val="32"/>
        </w:rPr>
        <w:t>8. Supporting Documents</w:t>
      </w:r>
    </w:p>
    <w:p>
      <w:pPr>
        <w:spacing w:before="0" w:after="120" w:line="276" w:lineRule="auto"/>
      </w:pPr>
      <w:r>
        <w:rPr>
          <w:rFonts w:ascii="Aptos" w:hAnsi="Aptos" w:eastAsia="Aptos"/>
          <w:sz w:val="22"/>
        </w:rPr>
        <w:t>The purchased version provides the complete workflow, roles, decision points, and supporting operational detail for this process. The full DSAR Procedure document expands this area with customer-ready detail.</w:t>
      </w:r>
    </w:p>
    <w:p>
      <w:pPr>
        <w:pStyle w:val="Heading1"/>
        <w:keepNext/>
        <w:spacing w:before="320" w:after="160"/>
      </w:pPr>
      <w:r>
        <w:rPr>
          <w:rFonts w:ascii="Aptos" w:hAnsi="Aptos" w:eastAsia="Aptos"/>
          <w:b/>
          <w:color w:val="1F4E79"/>
          <w:sz w:val="32"/>
        </w:rPr>
        <w:t>9. Control Mapping</w:t>
      </w:r>
    </w:p>
    <w:p>
      <w:pPr>
        <w:spacing w:before="0" w:after="120" w:line="276" w:lineRule="auto"/>
      </w:pPr>
      <w:r>
        <w:rPr>
          <w:rFonts w:ascii="Aptos" w:hAnsi="Aptos" w:eastAsia="Aptos"/>
          <w:sz w:val="22"/>
        </w:rPr>
        <w:t>Use this section to show how the workflow supports controls and how that support is evidenced. The purchased version provides the complete workflow, roles, decision points, and supporting operational detail for this process.</w:t>
      </w:r>
    </w:p>
    <w:sectPr w:rsidR="00FC693F" w:rsidRPr="0006063C" w:rsidSect="00034616">
      <w:headerReference w:type="default" r:id="rId9"/>
      <w:footerReference w:type="default" r:id="rId10"/>
      <w:pgSz w:w="12240" w:h="15840"/>
      <w:pgMar w:top="1080" w:right="1224" w:bottom="1008" w:left="1224" w:header="504"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w:hAnsi="Aptos" w:eastAsia="Aptos"/>
        <w:sz w:val="18"/>
      </w:rPr>
      <w:t xml:space="preserve">DSAR Procedure | Version 1.0 | Internal | Page </w:t>
    </w:r>
    <w:r>
      <w:fldChar w:fldCharType="begin"/>
    </w:r>
    <w:r>
      <w:instrText xml:space="preserve"> PAGE </w:instrText>
    </w:r>
    <w:r>
      <w:fldChar w:fldCharType="separate"/>
    </w:r>
    <w:r>
      <w:t>1</w:t>
    </w:r>
    <w:r>
      <w:fldChar w:fldCharType="end"/>
    </w:r>
    <w:r>
      <w:rPr>
        <w:rFonts w:ascii="Aptos" w:hAnsi="Aptos" w:eastAsia="Aptos"/>
        <w:sz w:val="18"/>
      </w:rPr>
      <w:t xml:space="preserve"> of </w:t>
    </w:r>
    <w:r>
      <w:fldChar w:fldCharType="begin"/>
    </w:r>
    <w:r>
      <w:instrText xml:space="preserve"> NUMPAGES </w:instrText>
    </w:r>
    <w:r>
      <w:fldChar w:fldCharType="separate"/>
    </w:r>
    <w: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sz w:val="18"/>
      </w:rPr>
      <w:t>SAMPLE / PREVIEW / NOT FOR OPERATIONAL USE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eastAsia="Aptos"/>
      <w:b w:val="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rPr>
      <w:rFonts w:ascii="Aptos" w:hAnsi="Aptos" w:eastAsia="Aptos"/>
      <w:sz w:val="20"/>
    </w:r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rPr>
      <w:rFonts w:ascii="Aptos" w:hAnsi="Aptos" w:eastAsia="Aptos"/>
      <w:sz w:val="18"/>
    </w:r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eastAsia="Aptos"/>
      <w:b/>
      <w:bCs/>
      <w:color w:val="1F4E79"/>
      <w:sz w:val="32"/>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eastAsia="Aptos"/>
      <w:b/>
      <w:bCs/>
      <w:color w:val="1F4E7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eastAsia="Aptos"/>
      <w:b/>
      <w:bCs/>
      <w:color w:val="44546A"/>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w:hAnsi="Aptos" w:eastAsia="Aptos"/>
      <w:b/>
      <w:color w:val="17365D" w:themeColor="text2" w:themeShade="BF"/>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ascii="Aptos" w:hAnsi="Aptos" w:eastAsia="Aptos"/>
      <w:b w:val="0"/>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DSAR Procedure</dc:title>
  <dc:subject>GDPR</dc:subject>
  <dc:creator>ISOReady</dc:creator>
  <cp:keywords/>
  <dc:description>GDPR generated by ISOReady integrated builder</dc:description>
  <cp:lastModifiedBy/>
  <cp:revision>1</cp:revision>
  <dcterms:created xsi:type="dcterms:W3CDTF">2013-12-23T23:15:00Z</dcterms:created>
  <dcterms:modified xsi:type="dcterms:W3CDTF">2013-12-23T23:15:00Z</dcterms:modified>
  <cp:category>Procedure</cp:category>
</cp:coreProperties>
</file>