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keepNext/>
        <w:spacing w:before="360" w:after="240"/>
      </w:pPr>
      <w:r>
        <w:rPr>
          <w:rFonts w:ascii="Aptos" w:hAnsi="Aptos" w:eastAsia="Aptos"/>
          <w:b/>
          <w:sz w:val="48"/>
        </w:rPr>
        <w:t>GDPR Sample Pack Guide</w:t>
      </w:r>
    </w:p>
    <w:p>
      <w:pPr>
        <w:spacing w:after="120" w:line="276" w:lineRule="auto" w:before="0"/>
      </w:pPr>
      <w:r>
        <w:rPr>
          <w:rFonts w:ascii="Aptos" w:hAnsi="Aptos" w:eastAsia="Aptos"/>
          <w:sz w:val="22"/>
        </w:rPr>
        <w:t>Version 1.0 | Preview / Sample Pack</w:t>
      </w:r>
    </w:p>
    <w:p>
      <w:pPr>
        <w:pStyle w:val="Heading1"/>
      </w:pPr>
      <w:r>
        <w:t>Sample Preview Notice</w:t>
      </w:r>
    </w:p>
    <w:p>
      <w:r>
        <w:t>This is a sample / preview version of the GDPR guide 'GDPR Sample Pack Guide'. It may be abbreviated or partially redacted for evaluation purposes. The full purchased pack contains the complete editable set and the full implementation-ready content.</w:t>
      </w:r>
    </w:p>
    <w:p>
      <w:pPr>
        <w:spacing w:after="120" w:line="276" w:lineRule="auto" w:before="0"/>
      </w:pPr>
      <w:r>
        <w:rPr>
          <w:rFonts w:ascii="Aptos" w:hAnsi="Aptos" w:eastAsia="Aptos"/>
          <w:sz w:val="22"/>
        </w:rPr>
        <w:t>This pack is a commercially controlled preview designed to show representative quality, structure, and formatting without exposing the full paid deliverable.</w:t>
      </w:r>
    </w:p>
    <w:p>
      <w:pPr>
        <w:pStyle w:val="Heading1"/>
        <w:keepNext/>
        <w:spacing w:before="320" w:after="160"/>
      </w:pPr>
      <w:r>
        <w:rPr>
          <w:rFonts w:ascii="Aptos" w:hAnsi="Aptos" w:eastAsia="Aptos"/>
          <w:b/>
          <w:color w:val="1F4E79"/>
          <w:sz w:val="32"/>
        </w:rPr>
        <w:t>Included In This Sample Pack</w:t>
      </w:r>
    </w:p>
    <w:p>
      <w:pPr>
        <w:pStyle w:val="ListBullet"/>
        <w:spacing w:before="20" w:after="80" w:line="276" w:lineRule="auto"/>
      </w:pPr>
      <w:r>
        <w:rPr>
          <w:rFonts w:ascii="Aptos" w:hAnsi="Aptos" w:eastAsia="Aptos"/>
          <w:sz w:val="22"/>
        </w:rPr>
        <w:t>Policy: Data Protection Policy</w:t>
      </w:r>
    </w:p>
    <w:p>
      <w:pPr>
        <w:pStyle w:val="ListBullet"/>
        <w:spacing w:before="20" w:after="80" w:line="276" w:lineRule="auto"/>
      </w:pPr>
      <w:r>
        <w:rPr>
          <w:rFonts w:ascii="Aptos" w:hAnsi="Aptos" w:eastAsia="Aptos"/>
          <w:sz w:val="22"/>
        </w:rPr>
        <w:t>Procedure: DSAR Procedure</w:t>
      </w:r>
    </w:p>
    <w:p>
      <w:pPr>
        <w:pStyle w:val="ListBullet"/>
        <w:spacing w:before="20" w:after="80" w:line="276" w:lineRule="auto"/>
      </w:pPr>
      <w:r>
        <w:rPr>
          <w:rFonts w:ascii="Aptos" w:hAnsi="Aptos" w:eastAsia="Aptos"/>
          <w:sz w:val="22"/>
        </w:rPr>
        <w:t>Register: Record of Processing Activities (RoPA)</w:t>
      </w:r>
    </w:p>
    <w:p>
      <w:pPr>
        <w:pStyle w:val="ListBullet"/>
        <w:spacing w:before="20" w:after="80" w:line="276" w:lineRule="auto"/>
      </w:pPr>
      <w:r>
        <w:rPr>
          <w:rFonts w:ascii="Aptos" w:hAnsi="Aptos" w:eastAsia="Aptos"/>
          <w:sz w:val="22"/>
        </w:rPr>
        <w:t>Form: DSAR Request Form</w:t>
      </w:r>
    </w:p>
    <w:p>
      <w:pPr>
        <w:pStyle w:val="ListBullet"/>
        <w:spacing w:before="20" w:after="80" w:line="276" w:lineRule="auto"/>
      </w:pPr>
      <w:r>
        <w:rPr>
          <w:rFonts w:ascii="Aptos" w:hAnsi="Aptos" w:eastAsia="Aptos"/>
          <w:sz w:val="22"/>
        </w:rPr>
        <w:t>Checklist: GDPR Readiness Checklist</w:t>
      </w:r>
    </w:p>
    <w:p>
      <w:pPr>
        <w:pStyle w:val="ListBullet"/>
        <w:spacing w:before="20" w:after="80" w:line="276" w:lineRule="auto"/>
      </w:pPr>
      <w:r>
        <w:rPr>
          <w:rFonts w:ascii="Aptos" w:hAnsi="Aptos" w:eastAsia="Aptos"/>
          <w:sz w:val="22"/>
        </w:rPr>
        <w:t>Checklist: GDPR Implementation Roadmap</w:t>
      </w:r>
    </w:p>
    <w:p>
      <w:pPr>
        <w:pStyle w:val="ListBullet"/>
        <w:spacing w:before="20" w:after="80" w:line="276" w:lineRule="auto"/>
      </w:pPr>
      <w:r>
        <w:rPr>
          <w:rFonts w:ascii="Aptos" w:hAnsi="Aptos" w:eastAsia="Aptos"/>
          <w:sz w:val="22"/>
        </w:rPr>
        <w:t>Mapping / Matrix: GDPR Requirement Mapping</w:t>
      </w:r>
    </w:p>
    <w:p>
      <w:pPr>
        <w:pStyle w:val="Heading1"/>
        <w:keepNext/>
        <w:spacing w:before="320" w:after="160"/>
      </w:pPr>
      <w:r>
        <w:rPr>
          <w:rFonts w:ascii="Aptos" w:hAnsi="Aptos" w:eastAsia="Aptos"/>
          <w:b/>
          <w:color w:val="1F4E79"/>
          <w:sz w:val="32"/>
        </w:rPr>
        <w:t>Included In The Full Purchased Pack</w:t>
      </w:r>
    </w:p>
    <w:p>
      <w:pPr>
        <w:pStyle w:val="ListBullet"/>
        <w:spacing w:before="20" w:after="80" w:line="276" w:lineRule="auto"/>
      </w:pPr>
      <w:r>
        <w:rPr>
          <w:rFonts w:ascii="Aptos" w:hAnsi="Aptos" w:eastAsia="Aptos"/>
          <w:sz w:val="22"/>
        </w:rPr>
        <w:t>Policies: 6</w:t>
      </w:r>
    </w:p>
    <w:p>
      <w:pPr>
        <w:pStyle w:val="ListBullet"/>
        <w:spacing w:before="20" w:after="80" w:line="276" w:lineRule="auto"/>
      </w:pPr>
      <w:r>
        <w:rPr>
          <w:rFonts w:ascii="Aptos" w:hAnsi="Aptos" w:eastAsia="Aptos"/>
          <w:sz w:val="22"/>
        </w:rPr>
        <w:t>Procedures: 10</w:t>
      </w:r>
    </w:p>
    <w:p>
      <w:pPr>
        <w:pStyle w:val="ListBullet"/>
        <w:spacing w:before="20" w:after="80" w:line="276" w:lineRule="auto"/>
      </w:pPr>
      <w:r>
        <w:rPr>
          <w:rFonts w:ascii="Aptos" w:hAnsi="Aptos" w:eastAsia="Aptos"/>
          <w:sz w:val="22"/>
        </w:rPr>
        <w:t>Guidance: 3</w:t>
      </w:r>
    </w:p>
    <w:p>
      <w:pPr>
        <w:pStyle w:val="ListBullet"/>
        <w:spacing w:before="20" w:after="80" w:line="276" w:lineRule="auto"/>
      </w:pPr>
      <w:r>
        <w:rPr>
          <w:rFonts w:ascii="Aptos" w:hAnsi="Aptos" w:eastAsia="Aptos"/>
          <w:sz w:val="22"/>
        </w:rPr>
        <w:t>Registers &amp; Logs: 4</w:t>
      </w:r>
    </w:p>
    <w:p>
      <w:pPr>
        <w:pStyle w:val="ListBullet"/>
        <w:spacing w:before="20" w:after="80" w:line="276" w:lineRule="auto"/>
      </w:pPr>
      <w:r>
        <w:rPr>
          <w:rFonts w:ascii="Aptos" w:hAnsi="Aptos" w:eastAsia="Aptos"/>
          <w:sz w:val="22"/>
        </w:rPr>
        <w:t>Readiness Tools: 3</w:t>
      </w:r>
    </w:p>
    <w:p>
      <w:pPr>
        <w:pStyle w:val="Heading1"/>
        <w:keepNext/>
        <w:spacing w:before="320" w:after="160"/>
      </w:pPr>
      <w:r>
        <w:rPr>
          <w:rFonts w:ascii="Aptos" w:hAnsi="Aptos" w:eastAsia="Aptos"/>
          <w:b/>
          <w:color w:val="1F4E79"/>
          <w:sz w:val="32"/>
        </w:rPr>
        <w:t>Preview Notes</w:t>
      </w:r>
    </w:p>
    <w:p>
      <w:pPr>
        <w:pStyle w:val="ListBullet"/>
        <w:spacing w:before="20" w:after="80" w:line="276" w:lineRule="auto"/>
      </w:pPr>
      <w:r>
        <w:rPr>
          <w:rFonts w:ascii="Aptos" w:hAnsi="Aptos" w:eastAsia="Aptos"/>
          <w:sz w:val="22"/>
        </w:rPr>
        <w:t>Sample documents may be abbreviated, trimmed, or redacted.</w:t>
      </w:r>
    </w:p>
    <w:p>
      <w:pPr>
        <w:pStyle w:val="ListBullet"/>
        <w:spacing w:before="20" w:after="80" w:line="276" w:lineRule="auto"/>
      </w:pPr>
      <w:r>
        <w:rPr>
          <w:rFonts w:ascii="Aptos" w:hAnsi="Aptos" w:eastAsia="Aptos"/>
          <w:sz w:val="22"/>
        </w:rPr>
        <w:t>DOCX and XLSX outputs are marked clearly as preview material and not for operational use.</w:t>
      </w:r>
    </w:p>
    <w:p>
      <w:pPr>
        <w:pStyle w:val="ListBullet"/>
        <w:spacing w:before="20" w:after="80" w:line="276" w:lineRule="auto"/>
      </w:pPr>
      <w:r>
        <w:rPr>
          <w:rFonts w:ascii="Aptos" w:hAnsi="Aptos" w:eastAsia="Aptos"/>
          <w:sz w:val="22"/>
        </w:rPr>
        <w:t>The full purchased pack includes the complete editable set and fuller implementation-ready content.</w:t>
      </w:r>
    </w:p>
    <w:p>
      <w:pPr>
        <w:pStyle w:val="Heading1"/>
        <w:keepNext/>
        <w:spacing w:before="320" w:after="160"/>
      </w:pPr>
      <w:r>
        <w:rPr>
          <w:rFonts w:ascii="Aptos" w:hAnsi="Aptos" w:eastAsia="Aptos"/>
          <w:b/>
          <w:color w:val="1F4E79"/>
          <w:sz w:val="32"/>
        </w:rPr>
        <w:t>Why The Full Pack Is Broader</w:t>
      </w:r>
    </w:p>
    <w:p>
      <w:pPr>
        <w:pStyle w:val="ListBullet"/>
        <w:spacing w:before="20" w:after="80" w:line="276" w:lineRule="auto"/>
      </w:pPr>
      <w:r>
        <w:rPr>
          <w:rFonts w:ascii="Aptos" w:hAnsi="Aptos" w:eastAsia="Aptos"/>
          <w:sz w:val="22"/>
        </w:rPr>
        <w:t>A wider document set across the framework.</w:t>
      </w:r>
    </w:p>
    <w:p>
      <w:pPr>
        <w:pStyle w:val="ListBullet"/>
        <w:spacing w:before="20" w:after="80" w:line="276" w:lineRule="auto"/>
      </w:pPr>
      <w:r>
        <w:rPr>
          <w:rFonts w:ascii="Aptos" w:hAnsi="Aptos" w:eastAsia="Aptos"/>
          <w:sz w:val="22"/>
        </w:rPr>
        <w:t>Complete operational sections, review expectations, and editable working content.</w:t>
      </w:r>
    </w:p>
    <w:p>
      <w:pPr>
        <w:pStyle w:val="ListBullet"/>
        <w:spacing w:before="20" w:after="80" w:line="276" w:lineRule="auto"/>
      </w:pPr>
      <w:r>
        <w:rPr>
          <w:rFonts w:ascii="Aptos" w:hAnsi="Aptos" w:eastAsia="Aptos"/>
          <w:sz w:val="22"/>
        </w:rPr>
        <w:t>A customer-ready pack designed for tailoring, approval, and rollout.</w:t>
      </w:r>
    </w:p>
    <w:sectPr w:rsidR="00FC693F" w:rsidRPr="0006063C" w:rsidSect="00034616">
      <w:footerReference w:type="default" r:id="rId9"/>
      <w:headerReference w:type="default" r:id="rId10"/>
      <w:pgSz w:w="12240" w:h="15840"/>
      <w:pgMar w:top="1080" w:right="1224" w:bottom="1008" w:left="1224" w:header="504" w:footer="576"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center"/>
    </w:pPr>
    <w:r>
      <w:rPr>
        <w:rFonts w:ascii="Aptos" w:hAnsi="Aptos" w:eastAsia="Aptos"/>
        <w:sz w:val="18"/>
      </w:rPr>
      <w:t xml:space="preserve">GDPR Sample Pack Guide | Version 1.0 | Confidential | Page </w:t>
    </w:r>
    <w:r>
      <w:fldChar w:fldCharType="begin"/>
    </w:r>
    <w:r>
      <w:instrText xml:space="preserve"> PAGE </w:instrText>
    </w:r>
    <w:r>
      <w:fldChar w:fldCharType="separate"/>
    </w:r>
    <w:r>
      <w:t>1</w:t>
    </w:r>
    <w:r>
      <w:fldChar w:fldCharType="end"/>
    </w:r>
    <w:r>
      <w:rPr>
        <w:rFonts w:ascii="Aptos" w:hAnsi="Aptos" w:eastAsia="Aptos"/>
        <w:sz w:val="18"/>
      </w:rPr>
      <w:t xml:space="preserve"> of </w:t>
    </w:r>
    <w:r>
      <w:fldChar w:fldCharType="begin"/>
    </w:r>
    <w:r>
      <w:instrText xml:space="preserve"> NUMPAGES </w:instrText>
    </w:r>
    <w:r>
      <w:fldChar w:fldCharType="separate"/>
    </w:r>
    <w:r>
      <w:t>1</w:t>
    </w:r>
    <w:r>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center"/>
    </w:pPr>
    <w:r>
      <w:rPr>
        <w:sz w:val="18"/>
      </w:rPr>
      <w:t>SAMPLE / PREVIEW / NOT FOR OPERATIONAL USE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eastAsia="Aptos"/>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rPr>
      <w:rFonts w:ascii="Aptos" w:hAnsi="Aptos" w:eastAsia="Aptos"/>
      <w:sz w:val="20"/>
    </w:r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rPr>
      <w:rFonts w:ascii="Aptos" w:hAnsi="Aptos" w:eastAsia="Aptos"/>
      <w:sz w:val="18"/>
    </w:r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w:hAnsi="Aptos" w:eastAsia="Aptos"/>
      <w:b/>
      <w:bCs/>
      <w:color w:val="1F4E79"/>
      <w:sz w:val="32"/>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w:hAnsi="Aptos" w:eastAsia="Aptos"/>
      <w:b/>
      <w:bCs/>
      <w:color w:val="1F4E7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w:hAnsi="Aptos" w:eastAsia="Aptos"/>
      <w:b/>
      <w:bCs/>
      <w:color w:val="44546A"/>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w:hAnsi="Aptos" w:eastAsia="Aptos"/>
      <w:b/>
      <w:color w:val="17365D" w:themeColor="text2" w:themeShade="BF"/>
      <w:spacing w:val="5"/>
      <w:kern w:val="28"/>
      <w:sz w:val="4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ascii="Aptos" w:hAnsi="Aptos" w:eastAsia="Aptos"/>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GDPR Sample Pack Guide</dc:title>
  <dc:subject>GDPR</dc:subject>
  <dc:creator>ISOReady</dc:creator>
  <cp:keywords/>
  <dc:description>GDPR generated by ISOReady integrated builder</dc:description>
  <cp:lastModifiedBy/>
  <cp:revision>1</cp:revision>
  <dcterms:created xsi:type="dcterms:W3CDTF">2013-12-23T23:15:00Z</dcterms:created>
  <dcterms:modified xsi:type="dcterms:W3CDTF">2013-12-23T23:15:00Z</dcterms:modified>
  <cp:category>Guidance</cp:category>
</cp:coreProperties>
</file>