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keepNext/>
        <w:spacing w:before="360" w:after="240"/>
        <w:jc w:val="left"/>
      </w:pPr>
      <w:r>
        <w:rPr>
          <w:rFonts w:ascii="Aptos" w:hAnsi="Aptos" w:eastAsia="Aptos"/>
          <w:b/>
          <w:color w:val="1F4E79"/>
          <w:sz w:val="48"/>
        </w:rPr>
        <w:t>User Access Management Procedure</w:t>
      </w:r>
    </w:p>
    <w:p>
      <w:pPr>
        <w:pStyle w:val="Subtitle"/>
        <w:keepNext/>
        <w:spacing w:after="200" w:before="0"/>
        <w:jc w:val="left"/>
      </w:pPr>
      <w:r>
        <w:t>Procedure | Cyber Essentials</w:t>
      </w:r>
    </w:p>
    <w:p>
      <w:pPr>
        <w:pStyle w:val="Heading1"/>
      </w:pPr>
      <w:r>
        <w:t>Sample Preview Notice</w:t>
      </w:r>
    </w:p>
    <w:p>
      <w:r>
        <w:t>This is a sample / preview version of the Cyber Essentials procedure 'User Access Management Procedure'. It may be abbreviated or partially redacted for evaluation purposes. The full purchased pack contains the complete editable set and the full implementation-ready content.</w:t>
      </w:r>
    </w:p>
    <w:p>
      <w:pPr>
        <w:spacing w:after="120" w:line="276" w:lineRule="auto" w:before="0"/>
      </w:pPr>
      <w:r>
        <w:rPr>
          <w:rFonts w:ascii="Aptos" w:hAnsi="Aptos" w:eastAsia="Aptos"/>
          <w:sz w:val="22"/>
        </w:rPr>
        <w:t>Customise this document to match your operating model, retain evidence of approval, and review it in line with your governance cycle.</w:t>
      </w:r>
    </w:p>
    <w:tbl>
      <w:tblPr>
        <w:tblStyle w:val="TableGrid"/>
        <w:tblW w:type="auto" w:w="0"/>
        <w:jc w:val="center"/>
        <w:tblLayout w:type="autofit"/>
        <w:tblLook w:firstColumn="1" w:firstRow="1" w:lastColumn="0" w:lastRow="0" w:noHBand="0" w:noVBand="1" w:val="04A0"/>
      </w:tblPr>
      <w:tblGrid>
        <w:gridCol w:w="9792"/>
      </w:tblGrid>
      <w:tr>
        <w:tc>
          <w:tcPr>
            <w:tcW w:type="dxa" w:w="9792"/>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How to use this document: tailor the placeholders to your operating model, keep ownership current, and align linked procedures, registers, and evidence records.</w:t>
            </w:r>
          </w:p>
        </w:tc>
      </w:tr>
    </w:tbl>
    <w:p>
      <w:pPr>
        <w:spacing w:before="0" w:after="120" w:line="276" w:lineRule="auto"/>
      </w:pPr>
    </w:p>
    <w:p>
      <w:pPr>
        <w:pStyle w:val="Heading1"/>
        <w:keepNext/>
        <w:spacing w:before="320" w:after="160"/>
      </w:pPr>
      <w:r>
        <w:rPr>
          <w:rFonts w:ascii="Aptos" w:hAnsi="Aptos" w:eastAsia="Aptos"/>
          <w:b/>
          <w:color w:val="1F4E79"/>
          <w:sz w:val="32"/>
        </w:rPr>
        <w:t>Document Control</w:t>
      </w:r>
    </w:p>
    <w:tbl>
      <w:tblPr>
        <w:tblStyle w:val="TableGrid"/>
        <w:tblW w:type="auto" w:w="0"/>
        <w:jc w:val="center"/>
        <w:tblLayout w:type="autofit"/>
        <w:tblLook w:firstColumn="1" w:firstRow="1" w:lastColumn="0" w:lastRow="0" w:noHBand="0" w:noVBand="1" w:val="04A0"/>
      </w:tblPr>
      <w:tblGrid>
        <w:gridCol w:w="4896"/>
        <w:gridCol w:w="4896"/>
      </w:tblGrid>
      <w:tr>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Document Title</w:t>
            </w:r>
          </w:p>
        </w:tc>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User Access Management Procedure</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Framework</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Cyber Essentials</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Category</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Procedure</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Owner</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IT Manager</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Classification</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Internal</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Version</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1.0</w:t>
            </w:r>
          </w:p>
        </w:tc>
      </w:tr>
    </w:tbl>
    <w:p>
      <w:pPr>
        <w:spacing w:before="0" w:after="120" w:line="276" w:lineRule="auto"/>
      </w:pPr>
    </w:p>
    <w:p>
      <w:pPr>
        <w:pStyle w:val="Heading2"/>
        <w:keepNext/>
        <w:spacing w:before="200" w:after="100"/>
      </w:pPr>
      <w:r>
        <w:rPr>
          <w:rFonts w:ascii="Aptos" w:hAnsi="Aptos" w:eastAsia="Aptos"/>
          <w:b/>
          <w:color w:val="1F4E79"/>
          <w:sz w:val="26"/>
        </w:rPr>
        <w:t>Approval and Review</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Approved By</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Effective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Review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Status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Managing Director</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Approved</w:t>
            </w:r>
          </w:p>
        </w:tc>
      </w:tr>
    </w:tbl>
    <w:p>
      <w:pPr>
        <w:spacing w:before="0" w:after="120" w:line="276" w:lineRule="auto"/>
      </w:pPr>
    </w:p>
    <w:p>
      <w:pPr>
        <w:pStyle w:val="Heading2"/>
        <w:keepNext/>
        <w:spacing w:before="200" w:after="100"/>
      </w:pPr>
      <w:r>
        <w:rPr>
          <w:rFonts w:ascii="Aptos" w:hAnsi="Aptos" w:eastAsia="Aptos"/>
          <w:b/>
          <w:color w:val="1F4E79"/>
          <w:sz w:val="26"/>
        </w:rPr>
        <w:t>Revision History</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Version</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Author</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Changes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1.0</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ISOReady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Initial release</w:t>
            </w:r>
          </w:p>
        </w:tc>
      </w:tr>
    </w:tbl>
    <w:p>
      <w:pPr>
        <w:spacing w:before="0" w:after="120" w:line="276" w:lineRule="auto"/>
      </w:pPr>
      <w:r>
        <w:rPr>
          <w:rFonts w:ascii="Aptos" w:hAnsi="Aptos" w:eastAsia="Aptos"/>
          <w:sz w:val="22"/>
        </w:rPr>
        <w:br w:type="page"/>
      </w:r>
    </w:p>
    <w:p>
      <w:pPr>
        <w:pStyle w:val="Heading1"/>
        <w:keepNext/>
        <w:pageBreakBefore/>
        <w:spacing w:before="320" w:after="160"/>
      </w:pPr>
      <w:r>
        <w:rPr>
          <w:rFonts w:ascii="Aptos" w:hAnsi="Aptos" w:eastAsia="Aptos"/>
          <w:b/>
          <w:color w:val="1F4E79"/>
          <w:sz w:val="32"/>
        </w:rPr>
        <w:t>1. Purpose</w:t>
      </w:r>
    </w:p>
    <w:p>
      <w:pPr>
        <w:spacing w:before="0" w:after="120" w:line="276" w:lineRule="auto"/>
      </w:pPr>
      <w:r>
        <w:rPr>
          <w:rFonts w:ascii="Aptos" w:hAnsi="Aptos" w:eastAsia="Aptos"/>
          <w:sz w:val="22"/>
        </w:rPr>
        <w:t>Executive Summary User Access Management Procedure gives staff a controlled, repeatable way to complete the activity and retain suitable evidence for review. Purpose To define a rigorous, audit-ready process for managing user access to all systems and data within the organisation, in line with Cyber Essentials requirements. This is used to maintain control over system access, restrict privileges to those necessary for job roles, document the lifecycle of user accounts, and produce evidence for security assurance purposes. Why This Matters This procedure matters because it should support practical baseline security hygiene and a more credible certification-ready operating model. It is most useful when it gives teams a workable operating baseline, not just approved wording. What Good Looks Like A strong outcome is visible through controlled use of the document, accountable ownership, and evidence that reviewers can trace without extra explanation.</w:t>
      </w:r>
    </w:p>
    <w:p>
      <w:pPr>
        <w:pStyle w:val="Heading3"/>
        <w:keepNext/>
        <w:spacing w:before="160" w:after="100"/>
      </w:pPr>
      <w:r>
        <w:rPr>
          <w:rFonts w:ascii="Aptos" w:hAnsi="Aptos" w:eastAsia="Aptos"/>
          <w:b/>
          <w:color w:val="44546A"/>
          <w:sz w:val="26"/>
        </w:rPr>
        <w:t>How to Use This Document</w:t>
      </w:r>
    </w:p>
    <w:p>
      <w:pPr>
        <w:spacing w:before="0" w:after="120" w:line="276" w:lineRule="auto"/>
      </w:pPr>
      <w:r>
        <w:rPr>
          <w:rFonts w:ascii="Aptos" w:hAnsi="Aptos" w:eastAsia="Aptos"/>
          <w:sz w:val="22"/>
        </w:rPr>
        <w:t>Use this procedure as the working reference for day-to-day delivery of the process. Teams should follow it in the live workflow, retain the expected evidence, and update it when the operating model changes.</w:t>
      </w:r>
    </w:p>
    <w:p>
      <w:pPr>
        <w:pStyle w:val="Heading1"/>
        <w:keepNext/>
        <w:spacing w:before="320" w:after="160"/>
      </w:pPr>
      <w:r>
        <w:rPr>
          <w:rFonts w:ascii="Aptos" w:hAnsi="Aptos" w:eastAsia="Aptos"/>
          <w:b/>
          <w:color w:val="1F4E79"/>
          <w:sz w:val="32"/>
        </w:rPr>
        <w:t>2. Scope</w:t>
      </w:r>
    </w:p>
    <w:p>
      <w:pPr>
        <w:spacing w:before="0" w:after="120" w:line="276" w:lineRule="auto"/>
      </w:pPr>
      <w:r>
        <w:rPr>
          <w:rFonts w:ascii="Aptos" w:hAnsi="Aptos" w:eastAsia="Aptos"/>
          <w:sz w:val="22"/>
        </w:rPr>
        <w:t>This should be applied across all the organisation employees, contractors, and temporary staff who require access to company-managed IT systems, SaaS platforms, and data assets, whether on-premises or cloud-hosted. It covers user onboarding, transfers, and offboarding, as well as periodic access reviews for privileged accounts. Baseline control requirements 1. User onboarding requests submitted via HR platform upon hiring. 2. Role change notifications from HR or immediate manager (via email or Internal Policy Portal). 3. Termination notifications from HR (immediate effect required). 4. Scheduled quarterly access reviews initiated by the Information Security Officer. Inputs include: - Staff details (name, email, role, manager) - Approval records from line manager and Managing Director - Systems access requirements (specific SaaS/apps, privilege level) - Evidence of training completion (where applicable) Keep the wording practical, SME-friendly, and tied to baseline device, access, patching, malware, and boundary controls.</w:t>
      </w:r>
    </w:p>
    <w:p>
      <w:pPr>
        <w:pStyle w:val="Heading1"/>
        <w:keepNext/>
        <w:spacing w:before="320" w:after="160"/>
      </w:pPr>
      <w:r>
        <w:rPr>
          <w:rFonts w:ascii="Aptos" w:hAnsi="Aptos" w:eastAsia="Aptos"/>
          <w:b/>
          <w:color w:val="1F4E79"/>
          <w:sz w:val="32"/>
        </w:rPr>
        <w:t>3. Trigger / Inputs</w:t>
      </w:r>
    </w:p>
    <w:p>
      <w:pPr>
        <w:spacing w:before="0" w:after="120" w:line="276" w:lineRule="auto"/>
      </w:pPr>
      <w:r>
        <w:rPr>
          <w:rFonts w:ascii="Aptos" w:hAnsi="Aptos" w:eastAsia="Aptos"/>
          <w:sz w:val="22"/>
        </w:rPr>
        <w:t>Use this section to describe the event, request, or condition that starts the workflow. 1. 2. 3. 4. Start the procedure when a defined request, control event, exception, or operational change creates a clear need for action and owner-led follow-up.</w:t>
      </w:r>
    </w:p>
    <w:p>
      <w:pPr>
        <w:pStyle w:val="Heading1"/>
        <w:keepNext/>
        <w:spacing w:before="320" w:after="160"/>
      </w:pPr>
      <w:r>
        <w:rPr>
          <w:rFonts w:ascii="Aptos" w:hAnsi="Aptos" w:eastAsia="Aptos"/>
          <w:b/>
          <w:color w:val="1F4E79"/>
          <w:sz w:val="32"/>
        </w:rPr>
        <w:t>4. Procedure Steps</w:t>
      </w:r>
    </w:p>
    <w:p>
      <w:pPr>
        <w:spacing w:before="0" w:after="120" w:line="276" w:lineRule="auto"/>
      </w:pPr>
      <w:r>
        <w:rPr>
          <w:rFonts w:ascii="Aptos" w:hAnsi="Aptos" w:eastAsia="Aptos"/>
          <w:sz w:val="22"/>
        </w:rPr>
        <w:t>1. Initiate Access Request: HR submits new starter or role change notification to security@yourcompany.co.uk and files in the Internal Policy Portal. 2. Assess Access Need: Information Security Officer (ISO) reviews request, confirms job role, justifies level of access, and documents rationale in the Access Register (maintained in the Internal Policy Portal). 3. Obtain Approval: Line manager and Managing Director approve access via electronic signature on the Access Request Form (uploaded to the Policy Portal). 4. Provision Access: IT administrator creates user account only after approvals are verified against the Access Register. Account is provisioned using least privilege principle. Admin access is granted only where justified and logged in the Privileged Access Register. 5. Notify User: IT administrator issues credentials securely and sends onboarding instructions, including password reset mandate, to user email. 6. Access Recording: All user accounts provisioned are logged by ISO, including timestamp, systems, access level, and ticket reference. Record is auditable and exportable on request. 7. Access Review: Each quarter, ISO initiates review of all accounts and privileges via the Policy Portal. Line managers confirm staff status and access needs. Any redundant or elevated privileges are revoked within an organisation-defined timeframe (example default: 48 hours, adjust as required) of review completion and evidence captured in Access Review Log. 8. Access Modification: For role changes, ISO receives notification, reassesses privilege requirements, and submits update to designated approver for approval. IT administrator enforces changes and logs actions. 9. Access Revocation: Upon termination (or immediate request), HR notifies security@yourcompany.co.uk. ISO verifies departure, IT administrator disables all accounts within an organisation-defined timeframe (example default: 4 business hours, adjust as required), and confirms revocation via access logs. All actions are recorded in the Access Revocation Register. 10. Evidence Retention: All access-related logs, approvals, and review outputs are archived by ISO and stored in a restricted-access folder in the Internal Policy Portal for an organisation-defined period (example default: 12 months, adjust as required). 6. Confirm the owner, retained evidence, and any follow-up action before closure. Keep the wording practical, SME-friendly, and tied to baseline device, access, patching, malware, and boundary controls.</w:t>
      </w:r>
    </w:p>
    <w:p>
      <w:pPr>
        <w:pStyle w:val="Heading1"/>
        <w:keepNext/>
        <w:spacing w:before="320" w:after="160"/>
      </w:pPr>
      <w:r>
        <w:rPr>
          <w:rFonts w:ascii="Aptos" w:hAnsi="Aptos" w:eastAsia="Aptos"/>
          <w:b/>
          <w:color w:val="1F4E79"/>
          <w:sz w:val="32"/>
        </w:rPr>
        <w:t>5. Roles and Responsibilities</w:t>
      </w:r>
    </w:p>
    <w:p>
      <w:pPr>
        <w:spacing w:before="0" w:after="120" w:line="276" w:lineRule="auto"/>
      </w:pPr>
      <w:r>
        <w:rPr>
          <w:rFonts w:ascii="Aptos" w:hAnsi="Aptos" w:eastAsia="Aptos"/>
          <w:sz w:val="22"/>
        </w:rPr>
        <w:t>The purchased version provides the complete workflow, roles, decision points, and supporting operational detail for this process. The full User Access Management Procedure document expands this area with customer-ready detail.</w:t>
      </w:r>
    </w:p>
    <w:p>
      <w:pPr>
        <w:pStyle w:val="Heading1"/>
        <w:keepNext/>
        <w:spacing w:before="320" w:after="160"/>
      </w:pPr>
      <w:r>
        <w:rPr>
          <w:rFonts w:ascii="Aptos" w:hAnsi="Aptos" w:eastAsia="Aptos"/>
          <w:b/>
          <w:color w:val="1F4E79"/>
          <w:sz w:val="32"/>
        </w:rPr>
        <w:t>6. Records / Outputs</w:t>
      </w:r>
    </w:p>
    <w:p>
      <w:pPr>
        <w:spacing w:before="0" w:after="120" w:line="276" w:lineRule="auto"/>
      </w:pPr>
      <w:r>
        <w:rPr>
          <w:rFonts w:ascii="Aptos" w:hAnsi="Aptos" w:eastAsia="Aptos"/>
          <w:sz w:val="22"/>
        </w:rPr>
        <w:t>Use this section to describe retained evidence, outputs, and traceability expectations. The purchased version provides the complete workflow, roles, decision points, and supporting operational detail for this process.</w:t>
      </w:r>
    </w:p>
    <w:p>
      <w:pPr>
        <w:pStyle w:val="Heading1"/>
        <w:keepNext/>
        <w:spacing w:before="320" w:after="160"/>
      </w:pPr>
      <w:r>
        <w:rPr>
          <w:rFonts w:ascii="Aptos" w:hAnsi="Aptos" w:eastAsia="Aptos"/>
          <w:b/>
          <w:color w:val="1F4E79"/>
          <w:sz w:val="32"/>
        </w:rPr>
        <w:t>7. Exceptions</w:t>
      </w:r>
    </w:p>
    <w:p>
      <w:pPr>
        <w:spacing w:before="0" w:after="120" w:line="276" w:lineRule="auto"/>
      </w:pPr>
      <w:r>
        <w:rPr>
          <w:rFonts w:ascii="Aptos" w:hAnsi="Aptos" w:eastAsia="Aptos"/>
          <w:sz w:val="22"/>
        </w:rPr>
        <w:t>The purchased version provides the complete workflow, roles, decision points, and supporting operational detail for this process. The full User Access Management Procedure document expands this area with customer-ready detail.</w:t>
      </w:r>
    </w:p>
    <w:p>
      <w:pPr>
        <w:pStyle w:val="Heading1"/>
        <w:keepNext/>
        <w:spacing w:before="320" w:after="160"/>
      </w:pPr>
      <w:r>
        <w:rPr>
          <w:rFonts w:ascii="Aptos" w:hAnsi="Aptos" w:eastAsia="Aptos"/>
          <w:b/>
          <w:color w:val="1F4E79"/>
          <w:sz w:val="32"/>
        </w:rPr>
        <w:t>8. Supporting Documents</w:t>
      </w:r>
    </w:p>
    <w:p>
      <w:pPr>
        <w:spacing w:before="0" w:after="120" w:line="276" w:lineRule="auto"/>
      </w:pPr>
      <w:r>
        <w:rPr>
          <w:rFonts w:ascii="Aptos" w:hAnsi="Aptos" w:eastAsia="Aptos"/>
          <w:sz w:val="22"/>
        </w:rPr>
        <w:t>The purchased version provides the complete workflow, roles, decision points, and supporting operational detail for this process. The full User Access Management Procedure document expands this area with customer-ready detail.</w:t>
      </w:r>
    </w:p>
    <w:p>
      <w:pPr>
        <w:pStyle w:val="Heading1"/>
        <w:keepNext/>
        <w:spacing w:before="320" w:after="160"/>
      </w:pPr>
      <w:r>
        <w:rPr>
          <w:rFonts w:ascii="Aptos" w:hAnsi="Aptos" w:eastAsia="Aptos"/>
          <w:b/>
          <w:color w:val="1F4E79"/>
          <w:sz w:val="32"/>
        </w:rPr>
        <w:t>9. Control Mapping</w:t>
      </w:r>
    </w:p>
    <w:p>
      <w:pPr>
        <w:spacing w:before="0" w:after="120" w:line="276" w:lineRule="auto"/>
      </w:pPr>
      <w:r>
        <w:rPr>
          <w:rFonts w:ascii="Aptos" w:hAnsi="Aptos" w:eastAsia="Aptos"/>
          <w:sz w:val="22"/>
        </w:rPr>
        <w:t>Use this section to show how the workflow supports controls and how that support is evidenced. The purchased version provides the complete workflow, roles, decision points, and supporting operational detail for this process.</w:t>
      </w:r>
    </w:p>
    <w:sectPr w:rsidR="00FC693F" w:rsidRPr="0006063C" w:rsidSect="00034616">
      <w:headerReference w:type="default" r:id="rId9"/>
      <w:footerReference w:type="default" r:id="rId10"/>
      <w:pgSz w:w="12240" w:h="15840"/>
      <w:pgMar w:top="1080" w:right="1224" w:bottom="1008" w:left="1224" w:header="504" w:footer="5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w:hAnsi="Aptos" w:eastAsia="Aptos"/>
        <w:sz w:val="18"/>
      </w:rPr>
      <w:t xml:space="preserve">User Access Management Procedure | Version 1.0 | Internal | Page </w:t>
    </w:r>
    <w:r>
      <w:fldChar w:fldCharType="begin"/>
    </w:r>
    <w:r>
      <w:instrText xml:space="preserve"> PAGE </w:instrText>
    </w:r>
    <w:r>
      <w:fldChar w:fldCharType="separate"/>
    </w:r>
    <w:r>
      <w:t>1</w:t>
    </w:r>
    <w:r>
      <w:fldChar w:fldCharType="end"/>
    </w:r>
    <w:r>
      <w:rPr>
        <w:rFonts w:ascii="Aptos" w:hAnsi="Aptos" w:eastAsia="Aptos"/>
        <w:sz w:val="18"/>
      </w:rPr>
      <w:t xml:space="preserve"> of </w:t>
    </w:r>
    <w:r>
      <w:fldChar w:fldCharType="begin"/>
    </w:r>
    <w:r>
      <w:instrText xml:space="preserve"> NUMPAGES </w:instrText>
    </w:r>
    <w:r>
      <w:fldChar w:fldCharType="separate"/>
    </w:r>
    <w: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sz w:val="18"/>
      </w:rPr>
      <w:t>SAMPLE / PREVIEW / NOT FOR OPERATIONAL USE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b w:val="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rPr>
      <w:rFonts w:ascii="Aptos" w:hAnsi="Aptos" w:eastAsia="Aptos"/>
      <w:sz w:val="20"/>
    </w:r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Aptos" w:hAnsi="Aptos" w:eastAsia="Aptos"/>
      <w:sz w:val="18"/>
    </w:r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eastAsia="Aptos"/>
      <w:b/>
      <w:bCs/>
      <w:color w:val="1F4E79"/>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1F4E7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4546A"/>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eastAsia="Aptos"/>
      <w:b/>
      <w:color w:val="17365D" w:themeColor="text2" w:themeShade="BF"/>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eastAsia="Aptos"/>
      <w:b w:val="0"/>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User Access Management Procedure</dc:title>
  <dc:subject>Cyber Essentials</dc:subject>
  <dc:creator>ISOReady</dc:creator>
  <cp:keywords/>
  <dc:description>Cyber Essentials generated by ISOReady integrated builder</dc:description>
  <cp:lastModifiedBy/>
  <cp:revision>1</cp:revision>
  <dcterms:created xsi:type="dcterms:W3CDTF">2013-12-23T23:15:00Z</dcterms:created>
  <dcterms:modified xsi:type="dcterms:W3CDTF">2013-12-23T23:15:00Z</dcterms:modified>
  <cp:category>Procedure</cp:category>
</cp:coreProperties>
</file>