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keepNext/>
        <w:spacing w:before="360" w:after="240"/>
        <w:jc w:val="left"/>
      </w:pPr>
      <w:r>
        <w:rPr>
          <w:rFonts w:ascii="Aptos" w:hAnsi="Aptos" w:eastAsia="Aptos"/>
          <w:b/>
          <w:color w:val="1F4E79"/>
          <w:sz w:val="48"/>
        </w:rPr>
        <w:t>Secure Configuration Policy</w:t>
      </w:r>
    </w:p>
    <w:p>
      <w:pPr>
        <w:pStyle w:val="Subtitle"/>
        <w:keepNext/>
        <w:spacing w:after="200" w:before="0"/>
        <w:jc w:val="left"/>
      </w:pPr>
      <w:r>
        <w:t>Policy | Cyber Essentials</w:t>
      </w:r>
    </w:p>
    <w:p>
      <w:pPr>
        <w:pStyle w:val="Heading1"/>
      </w:pPr>
      <w:r>
        <w:t>Sample Preview Notice</w:t>
      </w:r>
    </w:p>
    <w:p>
      <w:r>
        <w:t>This is a sample / preview version of the Cyber Essentials policy 'Secure Configuration Policy'. It may be abbreviated or partially redacted for evaluation purposes. The full purchased pack contains the complete editable set and the full implementation-ready content.</w:t>
      </w:r>
    </w:p>
    <w:p>
      <w:pPr>
        <w:spacing w:after="120" w:line="276" w:lineRule="auto" w:before="0"/>
      </w:pPr>
      <w:r>
        <w:rPr>
          <w:rFonts w:ascii="Aptos" w:hAnsi="Aptos" w:eastAsia="Aptos"/>
          <w:sz w:val="22"/>
        </w:rPr>
        <w:t>Customise this document to match your operating model, retain evidence of approval, and review it in line with your governance cycle.</w:t>
      </w:r>
    </w:p>
    <w:tbl>
      <w:tblPr>
        <w:tblStyle w:val="TableGrid"/>
        <w:tblW w:type="auto" w:w="0"/>
        <w:jc w:val="center"/>
        <w:tblLayout w:type="autofit"/>
        <w:tblLook w:firstColumn="1" w:firstRow="1" w:lastColumn="0" w:lastRow="0" w:noHBand="0" w:noVBand="1" w:val="04A0"/>
      </w:tblPr>
      <w:tblGrid>
        <w:gridCol w:w="9792"/>
      </w:tblGrid>
      <w:tr>
        <w:tc>
          <w:tcPr>
            <w:tcW w:type="dxa" w:w="9792"/>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How to use this document: tailor the placeholders to your operating model, keep ownership current, and align linked procedures, registers, and evidence records.</w:t>
            </w:r>
          </w:p>
        </w:tc>
      </w:tr>
    </w:tbl>
    <w:p>
      <w:pPr>
        <w:spacing w:before="0" w:after="120" w:line="276" w:lineRule="auto"/>
      </w:pPr>
    </w:p>
    <w:p>
      <w:pPr>
        <w:pStyle w:val="Heading1"/>
        <w:keepNext/>
        <w:spacing w:before="320" w:after="160"/>
      </w:pPr>
      <w:r>
        <w:rPr>
          <w:rFonts w:ascii="Aptos" w:hAnsi="Aptos" w:eastAsia="Aptos"/>
          <w:b/>
          <w:color w:val="1F4E79"/>
          <w:sz w:val="32"/>
        </w:rPr>
        <w:t>Document Control</w:t>
      </w:r>
    </w:p>
    <w:tbl>
      <w:tblPr>
        <w:tblStyle w:val="TableGrid"/>
        <w:tblW w:type="auto" w:w="0"/>
        <w:jc w:val="center"/>
        <w:tblLayout w:type="autofit"/>
        <w:tblLook w:firstColumn="1" w:firstRow="1" w:lastColumn="0" w:lastRow="0" w:noHBand="0" w:noVBand="1" w:val="04A0"/>
      </w:tblPr>
      <w:tblGrid>
        <w:gridCol w:w="4896"/>
        <w:gridCol w:w="4896"/>
      </w:tblGrid>
      <w:tr>
        <w:tc>
          <w:tcPr>
            <w:tcW w:type="dxa" w:w="4896"/>
            <w:tcMar>
              <w:top w:w="110" w:type="dxa"/>
              <w:start w:w="140" w:type="dxa"/>
              <w:bottom w:w="110" w:type="dxa"/>
              <w:end w:w="120" w:type="dxa"/>
            </w:tcMar>
            <w:shd w:fill="1F4E79"/>
          </w:tcPr>
          <w:p>
            <w:pPr>
              <w:spacing w:before="0" w:after="60" w:line="259" w:lineRule="auto"/>
              <w:jc w:val="center"/>
            </w:pPr>
            <w:r>
              <w:rPr>
                <w:rFonts w:ascii="Aptos" w:hAnsi="Aptos" w:eastAsia="Aptos"/>
                <w:b/>
                <w:color w:val="FFFFFF"/>
                <w:sz w:val="22"/>
              </w:rPr>
              <w:t>Document Title</w:t>
            </w:r>
          </w:p>
        </w:tc>
        <w:tc>
          <w:tcPr>
            <w:tcW w:type="dxa" w:w="4896"/>
            <w:tcMar>
              <w:top w:w="110" w:type="dxa"/>
              <w:start w:w="140" w:type="dxa"/>
              <w:bottom w:w="110" w:type="dxa"/>
              <w:end w:w="120" w:type="dxa"/>
            </w:tcMar>
            <w:shd w:fill="1F4E79"/>
          </w:tcPr>
          <w:p>
            <w:pPr>
              <w:spacing w:before="0" w:after="60" w:line="259" w:lineRule="auto"/>
              <w:jc w:val="center"/>
            </w:pPr>
            <w:r>
              <w:rPr>
                <w:rFonts w:ascii="Aptos" w:hAnsi="Aptos" w:eastAsia="Aptos"/>
                <w:b/>
                <w:color w:val="FFFFFF"/>
                <w:sz w:val="22"/>
              </w:rPr>
              <w:t>Secure Configuration Policy</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Framework</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Cyber Essentials</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Category</w:t>
            </w:r>
          </w:p>
        </w:tc>
        <w:tc>
          <w:tcPr>
            <w:tcW w:type="dxa" w:w="4896"/>
            <w:tcMar>
              <w:top w:w="110" w:type="dxa"/>
              <w:start w:w="140" w:type="dxa"/>
              <w:bottom w:w="110" w:type="dxa"/>
              <w:end w:w="120" w:type="dxa"/>
            </w:tcMar>
          </w:tcPr>
          <w:p>
            <w:pPr>
              <w:spacing w:before="0" w:after="40" w:line="259" w:lineRule="auto"/>
              <w:jc w:val="left"/>
            </w:pPr>
            <w:r>
              <w:rPr>
                <w:rFonts w:ascii="Aptos" w:hAnsi="Aptos" w:eastAsia="Aptos"/>
                <w:sz w:val="22"/>
              </w:rPr>
              <w:t>Policy</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Owner</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IT Manager</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Classification</w:t>
            </w:r>
          </w:p>
        </w:tc>
        <w:tc>
          <w:tcPr>
            <w:tcW w:type="dxa" w:w="4896"/>
            <w:tcMar>
              <w:top w:w="110" w:type="dxa"/>
              <w:start w:w="140" w:type="dxa"/>
              <w:bottom w:w="110" w:type="dxa"/>
              <w:end w:w="120" w:type="dxa"/>
            </w:tcMar>
          </w:tcPr>
          <w:p>
            <w:pPr>
              <w:spacing w:before="0" w:after="40" w:line="259" w:lineRule="auto"/>
              <w:jc w:val="left"/>
            </w:pPr>
            <w:r>
              <w:rPr>
                <w:rFonts w:ascii="Aptos" w:hAnsi="Aptos" w:eastAsia="Aptos"/>
                <w:sz w:val="22"/>
              </w:rPr>
              <w:t>Internal</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Version</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1.0</w:t>
            </w:r>
          </w:p>
        </w:tc>
      </w:tr>
    </w:tbl>
    <w:p>
      <w:pPr>
        <w:spacing w:before="0" w:after="120" w:line="276" w:lineRule="auto"/>
      </w:pPr>
    </w:p>
    <w:p>
      <w:pPr>
        <w:pStyle w:val="Heading2"/>
        <w:keepNext/>
        <w:spacing w:before="200" w:after="100"/>
      </w:pPr>
      <w:r>
        <w:rPr>
          <w:rFonts w:ascii="Aptos" w:hAnsi="Aptos" w:eastAsia="Aptos"/>
          <w:b/>
          <w:color w:val="1F4E79"/>
          <w:sz w:val="26"/>
        </w:rPr>
        <w:t>Approval and Review</w:t>
      </w:r>
    </w:p>
    <w:tbl>
      <w:tblPr>
        <w:tblStyle w:val="TableGrid"/>
        <w:tblW w:type="auto" w:w="0"/>
        <w:jc w:val="center"/>
        <w:tblLayout w:type="autofit"/>
        <w:tblLook w:firstColumn="1" w:firstRow="1" w:lastColumn="0" w:lastRow="0" w:noHBand="0" w:noVBand="1" w:val="04A0"/>
      </w:tblPr>
      <w:tblGrid>
        <w:gridCol w:w="2448"/>
        <w:gridCol w:w="2448"/>
        <w:gridCol w:w="2448"/>
        <w:gridCol w:w="2448"/>
      </w:tblGrid>
      <w:tr>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Approved By</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Effective 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Review 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Status</w:t>
            </w:r>
          </w:p>
        </w:tc>
      </w:tr>
      <w:tr>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Managing Director</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Approved</w:t>
            </w:r>
          </w:p>
        </w:tc>
      </w:tr>
    </w:tbl>
    <w:p>
      <w:pPr>
        <w:spacing w:before="0" w:after="120" w:line="276" w:lineRule="auto"/>
      </w:pPr>
    </w:p>
    <w:p>
      <w:pPr>
        <w:pStyle w:val="Heading2"/>
        <w:keepNext/>
        <w:spacing w:before="200" w:after="100"/>
      </w:pPr>
      <w:r>
        <w:rPr>
          <w:rFonts w:ascii="Aptos" w:hAnsi="Aptos" w:eastAsia="Aptos"/>
          <w:b/>
          <w:color w:val="1F4E79"/>
          <w:sz w:val="26"/>
        </w:rPr>
        <w:t>Revision History</w:t>
      </w:r>
    </w:p>
    <w:tbl>
      <w:tblPr>
        <w:tblStyle w:val="TableGrid"/>
        <w:tblW w:type="auto" w:w="0"/>
        <w:jc w:val="center"/>
        <w:tblLayout w:type="autofit"/>
        <w:tblLook w:firstColumn="1" w:firstRow="1" w:lastColumn="0" w:lastRow="0" w:noHBand="0" w:noVBand="1" w:val="04A0"/>
      </w:tblPr>
      <w:tblGrid>
        <w:gridCol w:w="2448"/>
        <w:gridCol w:w="2448"/>
        <w:gridCol w:w="2448"/>
        <w:gridCol w:w="2448"/>
      </w:tblGrid>
      <w:tr>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Version</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Author</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Changes</w:t>
            </w:r>
          </w:p>
        </w:tc>
      </w:tr>
      <w:tr>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1.0</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ISOReady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Initial release</w:t>
            </w:r>
          </w:p>
        </w:tc>
      </w:tr>
    </w:tbl>
    <w:p>
      <w:pPr>
        <w:spacing w:before="0" w:after="120" w:line="276" w:lineRule="auto"/>
      </w:pPr>
      <w:r>
        <w:rPr>
          <w:rFonts w:ascii="Aptos" w:hAnsi="Aptos" w:eastAsia="Aptos"/>
          <w:sz w:val="22"/>
        </w:rPr>
        <w:br w:type="page"/>
      </w:r>
    </w:p>
    <w:p>
      <w:pPr>
        <w:pStyle w:val="Heading1"/>
        <w:keepNext/>
        <w:pageBreakBefore/>
        <w:spacing w:before="320" w:after="160"/>
      </w:pPr>
      <w:r>
        <w:rPr>
          <w:rFonts w:ascii="Aptos" w:hAnsi="Aptos" w:eastAsia="Aptos"/>
          <w:b/>
          <w:color w:val="1F4E79"/>
          <w:sz w:val="32"/>
        </w:rPr>
        <w:t>1. Purpose</w:t>
      </w:r>
    </w:p>
    <w:p>
      <w:pPr>
        <w:spacing w:before="0" w:after="120" w:line="276" w:lineRule="auto"/>
      </w:pPr>
      <w:r>
        <w:rPr>
          <w:rFonts w:ascii="Aptos" w:hAnsi="Aptos" w:eastAsia="Aptos"/>
          <w:sz w:val="22"/>
        </w:rPr>
        <w:t>Executive Summary Secure Configuration Policy provides a management-level baseline for Cyber Essentials and explains why consistent control adoption, ownership, and evidence matter. Purpose This Secure Configuration Policy defines mandatory requirements for configuring all hardware, software, and cloud resources used by the organisation to prevent unauthorised access, reduce attack surface, and align with Cyber Essentials baseline security controls. The policy outlines specific technical and procedural standards for system configuration, review, and monitoring to ensure the SaaS environment remains resilient to common threats. Why This Matters This policy matters because it should support practical baseline security hygiene and a more credible certification-ready operating model. It is most useful when it gives teams a workable operating baseline, not just approved wording.</w:t>
      </w:r>
    </w:p>
    <w:p>
      <w:pPr>
        <w:pStyle w:val="Heading1"/>
        <w:keepNext/>
        <w:spacing w:before="320" w:after="160"/>
      </w:pPr>
      <w:r>
        <w:rPr>
          <w:rFonts w:ascii="Aptos" w:hAnsi="Aptos" w:eastAsia="Aptos"/>
          <w:b/>
          <w:color w:val="1F4E79"/>
          <w:sz w:val="32"/>
        </w:rPr>
        <w:t>2. Scope</w:t>
      </w:r>
    </w:p>
    <w:p>
      <w:pPr>
        <w:spacing w:before="0" w:after="120" w:line="276" w:lineRule="auto"/>
      </w:pPr>
      <w:r>
        <w:rPr>
          <w:rFonts w:ascii="Aptos" w:hAnsi="Aptos" w:eastAsia="Aptos"/>
          <w:sz w:val="22"/>
        </w:rPr>
        <w:t>This policy applies to all endpoints, servers, virtual machines, network equipment, SaaS applications, cloud accounts, and tooling managed or procured by the organisation. It covers all systems processing or storing company or client data, regardless of location or device ownership, where used for business operations. Keep the wording practical, SME-friendly, and tied to baseline device, access, patching, malware, and boundary controls.</w:t>
      </w:r>
    </w:p>
    <w:p>
      <w:pPr>
        <w:pStyle w:val="Heading1"/>
        <w:keepNext/>
        <w:spacing w:before="320" w:after="160"/>
      </w:pPr>
      <w:r>
        <w:rPr>
          <w:rFonts w:ascii="Aptos" w:hAnsi="Aptos" w:eastAsia="Aptos"/>
          <w:b/>
          <w:color w:val="1F4E79"/>
          <w:sz w:val="32"/>
        </w:rPr>
        <w:t>3. Objectives</w:t>
      </w:r>
    </w:p>
    <w:p>
      <w:pPr>
        <w:spacing w:before="0" w:after="120" w:line="276" w:lineRule="auto"/>
      </w:pPr>
      <w:r>
        <w:rPr>
          <w:rFonts w:ascii="Aptos" w:hAnsi="Aptos" w:eastAsia="Aptos"/>
          <w:sz w:val="22"/>
        </w:rPr>
        <w:t>1. Mandate direct hardening of all new and existing systems to Cyber Essentials standards. 2. Establish clear administrative controls to prevent misconfiguration. 3. Document and audit all configuration changes. 4. Define evidence and review mechanisms supporting audit-readiness. 5. Implement escalation and accountability for configuration deviations. What Good Looks Like A usable implementation position is shown by approved content, repeatable operational behaviour, and records that confirm the requirement is being followed. It covers all systems processing or storing company or client data, regardless of location or device ownership, where used for business operations. Keep the wording practical, SME-friendly, and tied to baseline device, access, patching, malware, and boundary controls.</w:t>
      </w:r>
    </w:p>
    <w:p>
      <w:pPr>
        <w:pStyle w:val="Heading1"/>
        <w:keepNext/>
        <w:spacing w:before="320" w:after="160"/>
      </w:pPr>
      <w:r>
        <w:rPr>
          <w:rFonts w:ascii="Aptos" w:hAnsi="Aptos" w:eastAsia="Aptos"/>
          <w:b/>
          <w:color w:val="1F4E79"/>
          <w:sz w:val="32"/>
        </w:rPr>
        <w:t>4. Policy Statements</w:t>
      </w:r>
    </w:p>
    <w:p>
      <w:pPr>
        <w:spacing w:before="0" w:after="120" w:line="276" w:lineRule="auto"/>
      </w:pPr>
      <w:r>
        <w:rPr>
          <w:rFonts w:ascii="Aptos" w:hAnsi="Aptos" w:eastAsia="Aptos"/>
          <w:sz w:val="22"/>
        </w:rPr>
        <w:t>1. All new devices and cloud resources must be configured against the latest vendor and Cyber Essentials security baselines before deployment; default credentials must be replaced with unique, complex passwords managed within the organisation's password manager. 2. Only essential applications, services, and user accounts must remain enabled on each system; all unnecessary components must be removed within an organisation-defined timeframe of initial setup or discovery. 3. Operating system and application configuration must disable all unused ports and services within firewalls and host settings. 4. All default administrative accounts must be renamed and have their status documented in the Secure Configuration Register on the Internal Policy Portal. 5. System configuration changes—including changes to default settings, firewall rules, and software installations—must be logged, with a change request raised via the Internal Policy Portal and approved by the Information Security Officer prior to implementation. 6. Non-compliant configurations identified during internal audits must be remediated within an organisation-defined timeframe; unresolved issues must be escalated to security@yourcompany.co.uk. 7. The security owner must maintain a Secure Configuration Register documenting baseline configurations and change logs for each asset, available for audit review at any time. 8. Configuration reviews for all managed systems must be scheduled at least once per quarter, with results documented and remediation actions tracked through completion. 9. All evidence of compliance, including system logs, access change records, configuration snapshots, and approval emails, must be retained for no less than 12 months on secure, centrally managed storage. 10. Exceptions to this policy require written justification, authorisation by the Managing Director, and records maintained within the Internal Policy Portal.</w:t>
      </w:r>
    </w:p>
    <w:p>
      <w:pPr>
        <w:pStyle w:val="Heading1"/>
        <w:keepNext/>
        <w:spacing w:before="320" w:after="160"/>
      </w:pPr>
      <w:r>
        <w:rPr>
          <w:rFonts w:ascii="Aptos" w:hAnsi="Aptos" w:eastAsia="Aptos"/>
          <w:b/>
          <w:color w:val="1F4E79"/>
          <w:sz w:val="32"/>
        </w:rPr>
        <w:t>5. Roles and Responsibilities</w:t>
      </w:r>
    </w:p>
    <w:p>
      <w:pPr>
        <w:spacing w:before="0" w:after="120" w:line="276" w:lineRule="auto"/>
      </w:pPr>
      <w:r>
        <w:rPr>
          <w:rFonts w:ascii="Aptos" w:hAnsi="Aptos" w:eastAsia="Aptos"/>
          <w:sz w:val="22"/>
        </w:rPr>
        <w:t>The full pack version of this section includes detailed control expectations, ownership guidance, review requirements, and implementation notes. The full Secure Configuration Policy document expands this area with customer-ready detail.</w:t>
      </w:r>
    </w:p>
    <w:p>
      <w:pPr>
        <w:pStyle w:val="Heading1"/>
        <w:keepNext/>
        <w:spacing w:before="320" w:after="160"/>
      </w:pPr>
      <w:r>
        <w:rPr>
          <w:rFonts w:ascii="Aptos" w:hAnsi="Aptos" w:eastAsia="Aptos"/>
          <w:b/>
          <w:color w:val="1F4E79"/>
          <w:sz w:val="32"/>
        </w:rPr>
        <w:t>6. Implementation Guidance</w:t>
      </w:r>
    </w:p>
    <w:p>
      <w:pPr>
        <w:spacing w:before="0" w:after="120" w:line="276" w:lineRule="auto"/>
      </w:pPr>
      <w:r>
        <w:rPr>
          <w:rFonts w:ascii="Aptos" w:hAnsi="Aptos" w:eastAsia="Aptos"/>
          <w:sz w:val="22"/>
        </w:rPr>
        <w:t>Use this section to explain how teams should apply the document in practice. The full pack version of this section includes detailed control expectations, ownership guidance, review requirements, and implementation notes.</w:t>
      </w:r>
    </w:p>
    <w:p>
      <w:pPr>
        <w:pStyle w:val="Heading1"/>
        <w:keepNext/>
        <w:spacing w:before="320" w:after="160"/>
      </w:pPr>
      <w:r>
        <w:rPr>
          <w:rFonts w:ascii="Aptos" w:hAnsi="Aptos" w:eastAsia="Aptos"/>
          <w:b/>
          <w:color w:val="1F4E79"/>
          <w:sz w:val="32"/>
        </w:rPr>
        <w:t>7. How to Use This Document</w:t>
      </w:r>
    </w:p>
    <w:p>
      <w:pPr>
        <w:spacing w:before="0" w:after="120" w:line="276" w:lineRule="auto"/>
      </w:pPr>
      <w:r>
        <w:rPr>
          <w:rFonts w:ascii="Aptos" w:hAnsi="Aptos" w:eastAsia="Aptos"/>
          <w:sz w:val="22"/>
        </w:rPr>
        <w:t>The full pack version of this section includes detailed control expectations, ownership guidance, review requirements, and implementation notes. The full Secure Configuration Policy document expands this area with customer-ready detail.</w:t>
      </w:r>
    </w:p>
    <w:p>
      <w:pPr>
        <w:pStyle w:val="Heading1"/>
        <w:keepNext/>
        <w:spacing w:before="320" w:after="160"/>
      </w:pPr>
      <w:r>
        <w:rPr>
          <w:rFonts w:ascii="Aptos" w:hAnsi="Aptos" w:eastAsia="Aptos"/>
          <w:b/>
          <w:color w:val="1F4E79"/>
          <w:sz w:val="32"/>
        </w:rPr>
        <w:t>8. Supporting Documents</w:t>
      </w:r>
    </w:p>
    <w:p>
      <w:pPr>
        <w:spacing w:before="0" w:after="120" w:line="276" w:lineRule="auto"/>
      </w:pPr>
      <w:r>
        <w:rPr>
          <w:rFonts w:ascii="Aptos" w:hAnsi="Aptos" w:eastAsia="Aptos"/>
          <w:sz w:val="22"/>
        </w:rPr>
        <w:t>The full pack version of this section includes detailed control expectations, ownership guidance, review requirements, and implementation notes. The full Secure Configuration Policy document expands this area with customer-ready detail.</w:t>
      </w:r>
    </w:p>
    <w:p>
      <w:pPr>
        <w:pStyle w:val="Heading1"/>
        <w:keepNext/>
        <w:spacing w:before="320" w:after="160"/>
      </w:pPr>
      <w:r>
        <w:rPr>
          <w:rFonts w:ascii="Aptos" w:hAnsi="Aptos" w:eastAsia="Aptos"/>
          <w:b/>
          <w:color w:val="1F4E79"/>
          <w:sz w:val="32"/>
        </w:rPr>
        <w:t>9. Control Mapping</w:t>
      </w:r>
    </w:p>
    <w:p>
      <w:pPr>
        <w:spacing w:before="0" w:after="120" w:line="276" w:lineRule="auto"/>
      </w:pPr>
      <w:r>
        <w:rPr>
          <w:rFonts w:ascii="Aptos" w:hAnsi="Aptos" w:eastAsia="Aptos"/>
          <w:sz w:val="22"/>
        </w:rPr>
        <w:t>Use this section to link the document to controls, evidence, and traceability expectations. The full pack version of this section includes detailed control expectations, ownership guidance, review requirements, and implementation notes.</w:t>
      </w:r>
    </w:p>
    <w:p>
      <w:pPr>
        <w:pStyle w:val="Heading1"/>
        <w:keepNext/>
        <w:spacing w:before="320" w:after="160"/>
      </w:pPr>
      <w:r>
        <w:rPr>
          <w:rFonts w:ascii="Aptos" w:hAnsi="Aptos" w:eastAsia="Aptos"/>
          <w:b/>
          <w:color w:val="1F4E79"/>
          <w:sz w:val="32"/>
        </w:rPr>
        <w:t>10. Review and Maintenance</w:t>
      </w:r>
    </w:p>
    <w:p>
      <w:pPr>
        <w:spacing w:before="0" w:after="120" w:line="276" w:lineRule="auto"/>
      </w:pPr>
      <w:r>
        <w:rPr>
          <w:rFonts w:ascii="Aptos" w:hAnsi="Aptos" w:eastAsia="Aptos"/>
          <w:sz w:val="22"/>
        </w:rPr>
        <w:t>The full pack version of this section includes detailed control expectations, ownership guidance, review requirements, and implementation notes. The full Secure Configuration Policy document expands this area with customer-ready detail.</w:t>
      </w:r>
    </w:p>
    <w:p>
      <w:pPr>
        <w:pStyle w:val="Heading1"/>
        <w:keepNext/>
        <w:spacing w:before="320" w:after="160"/>
      </w:pPr>
      <w:r>
        <w:rPr>
          <w:rFonts w:ascii="Aptos" w:hAnsi="Aptos" w:eastAsia="Aptos"/>
          <w:b/>
          <w:color w:val="1F4E79"/>
          <w:sz w:val="32"/>
        </w:rPr>
        <w:t>11. Enforcement</w:t>
      </w:r>
    </w:p>
    <w:p>
      <w:pPr>
        <w:spacing w:before="0" w:after="120" w:line="276" w:lineRule="auto"/>
      </w:pPr>
      <w:r>
        <w:rPr>
          <w:rFonts w:ascii="Aptos" w:hAnsi="Aptos" w:eastAsia="Aptos"/>
          <w:sz w:val="22"/>
        </w:rPr>
        <w:t>The full pack version of this section includes detailed control expectations, ownership guidance, review requirements, and implementation notes. The full Secure Configuration Policy document expands this area with customer-ready detail.</w:t>
      </w:r>
    </w:p>
    <w:sectPr w:rsidR="00FC693F" w:rsidRPr="0006063C" w:rsidSect="00034616">
      <w:headerReference w:type="default" r:id="rId9"/>
      <w:footerReference w:type="default" r:id="rId10"/>
      <w:pgSz w:w="12240" w:h="15840"/>
      <w:pgMar w:top="1080" w:right="1224" w:bottom="1008" w:left="1224" w:header="504" w:footer="57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rPr>
        <w:rFonts w:ascii="Aptos" w:hAnsi="Aptos" w:eastAsia="Aptos"/>
        <w:sz w:val="18"/>
      </w:rPr>
      <w:t xml:space="preserve">Secure Configuration Policy | Version 1.0 | Internal | Page </w:t>
    </w:r>
    <w:r>
      <w:fldChar w:fldCharType="begin"/>
    </w:r>
    <w:r>
      <w:instrText xml:space="preserve"> PAGE </w:instrText>
    </w:r>
    <w:r>
      <w:fldChar w:fldCharType="separate"/>
    </w:r>
    <w:r>
      <w:t>1</w:t>
    </w:r>
    <w:r>
      <w:fldChar w:fldCharType="end"/>
    </w:r>
    <w:r>
      <w:rPr>
        <w:rFonts w:ascii="Aptos" w:hAnsi="Aptos" w:eastAsia="Aptos"/>
        <w:sz w:val="18"/>
      </w:rPr>
      <w:t xml:space="preserve"> of </w:t>
    </w:r>
    <w:r>
      <w:fldChar w:fldCharType="begin"/>
    </w:r>
    <w:r>
      <w:instrText xml:space="preserve"> NUMPAGES </w:instrText>
    </w:r>
    <w:r>
      <w:fldChar w:fldCharType="separate"/>
    </w:r>
    <w:r>
      <w:t>1</w: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sz w:val="18"/>
      </w:rPr>
      <w:t>SAMPLE / PREVIEW / NOT FOR OPERATIONAL USE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b w:val="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rPr>
      <w:rFonts w:ascii="Aptos" w:hAnsi="Aptos" w:eastAsia="Aptos"/>
      <w:sz w:val="20"/>
    </w:r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rPr>
      <w:rFonts w:ascii="Aptos" w:hAnsi="Aptos" w:eastAsia="Aptos"/>
      <w:sz w:val="18"/>
    </w:r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w:hAnsi="Aptos" w:eastAsia="Aptos"/>
      <w:b/>
      <w:bCs/>
      <w:color w:val="1F4E79"/>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eastAsia="Aptos"/>
      <w:b/>
      <w:bCs/>
      <w:color w:val="1F4E7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eastAsia="Aptos"/>
      <w:b/>
      <w:bCs/>
      <w:color w:val="44546A"/>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w:hAnsi="Aptos" w:eastAsia="Aptos"/>
      <w:b/>
      <w:color w:val="17365D" w:themeColor="text2" w:themeShade="BF"/>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ptos" w:hAnsi="Aptos" w:eastAsia="Aptos"/>
      <w:b w:val="0"/>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Secure Configuration Policy</dc:title>
  <dc:subject>Cyber Essentials</dc:subject>
  <dc:creator>ISOReady</dc:creator>
  <cp:keywords/>
  <dc:description>Cyber Essentials generated by ISOReady integrated builder</dc:description>
  <cp:lastModifiedBy/>
  <cp:revision>1</cp:revision>
  <dcterms:created xsi:type="dcterms:W3CDTF">2013-12-23T23:15:00Z</dcterms:created>
  <dcterms:modified xsi:type="dcterms:W3CDTF">2013-12-23T23:15:00Z</dcterms:modified>
  <cp:category>Policy</cp:category>
</cp:coreProperties>
</file>